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E4F71" w14:textId="278FBA58" w:rsidR="00F46F2D" w:rsidRDefault="003E2D3B" w:rsidP="00192E1C">
      <w:pPr>
        <w:jc w:val="both"/>
        <w:rPr>
          <w:rFonts w:cstheme="minorHAnsi"/>
          <w:b/>
          <w:bCs/>
          <w:shd w:val="clear" w:color="auto" w:fill="FFFFFF"/>
          <w:lang w:val="nl-NL"/>
        </w:rPr>
      </w:pPr>
      <w:r>
        <w:rPr>
          <w:rFonts w:cstheme="minorHAnsi"/>
          <w:b/>
          <w:bCs/>
          <w:shd w:val="clear" w:color="auto" w:fill="FFFFFF"/>
          <w:lang w:val="nl-NL"/>
        </w:rPr>
        <w:t>500/2</w:t>
      </w:r>
      <w:r w:rsidR="00927FD2" w:rsidRPr="0050565F">
        <w:rPr>
          <w:rFonts w:cstheme="minorHAnsi"/>
          <w:b/>
          <w:bCs/>
          <w:shd w:val="clear" w:color="auto" w:fill="FFFFFF"/>
          <w:lang w:val="nl-NL"/>
        </w:rPr>
        <w:t>.</w:t>
      </w:r>
      <w:r w:rsidR="0032266B" w:rsidRPr="0050565F">
        <w:rPr>
          <w:rFonts w:cstheme="minorHAnsi"/>
          <w:b/>
          <w:bCs/>
          <w:shd w:val="clear" w:color="auto" w:fill="FFFFFF"/>
          <w:lang w:val="nl-NL"/>
        </w:rPr>
        <w:tab/>
      </w:r>
      <w:r w:rsidRPr="00325440">
        <w:rPr>
          <w:rFonts w:cstheme="minorHAnsi"/>
          <w:b/>
          <w:bCs/>
          <w:shd w:val="clear" w:color="auto" w:fill="FFFFFF"/>
          <w:lang w:val="nl-NL"/>
        </w:rPr>
        <w:t>In afwijking van artikel 499/14 bepaalt de vrederechter in de beschikking die de ouders als bewindvoerders van de beschermde persoon aanstelt, het tijdstip waarop of de omstandigheden waarin en de wijze</w:t>
      </w:r>
      <w:r w:rsidRPr="003E2D3B">
        <w:rPr>
          <w:rFonts w:cstheme="minorHAnsi"/>
          <w:b/>
          <w:bCs/>
          <w:shd w:val="clear" w:color="auto" w:fill="FFFFFF"/>
          <w:lang w:val="nl-NL"/>
        </w:rPr>
        <w:t xml:space="preserve"> waarop de ouders verslag uitbrengen.</w:t>
      </w:r>
    </w:p>
    <w:p w14:paraId="6E8E074D" w14:textId="77777777" w:rsidR="00192E1C" w:rsidRPr="0050565F" w:rsidRDefault="00192E1C" w:rsidP="00192E1C">
      <w:pPr>
        <w:jc w:val="both"/>
        <w:rPr>
          <w:rFonts w:cstheme="minorHAnsi"/>
          <w:b/>
          <w:bCs/>
          <w:shd w:val="clear" w:color="auto" w:fill="FFFFFF"/>
          <w:lang w:val="nl-NL"/>
        </w:rPr>
      </w:pPr>
    </w:p>
    <w:p w14:paraId="33663533" w14:textId="2D7920C3" w:rsidR="00F46F2D" w:rsidRDefault="003E2D3B" w:rsidP="00192E1C">
      <w:pPr>
        <w:jc w:val="both"/>
        <w:rPr>
          <w:rFonts w:cstheme="minorHAnsi"/>
          <w:i/>
          <w:iCs/>
          <w:shd w:val="clear" w:color="auto" w:fill="FFFFFF"/>
          <w:lang w:val="fr-FR"/>
        </w:rPr>
      </w:pPr>
      <w:r>
        <w:rPr>
          <w:rFonts w:cstheme="minorHAnsi"/>
          <w:i/>
          <w:iCs/>
          <w:shd w:val="clear" w:color="auto" w:fill="FFFFFF"/>
          <w:lang w:val="fr-FR"/>
        </w:rPr>
        <w:t>500/2</w:t>
      </w:r>
      <w:r w:rsidR="00927FD2" w:rsidRPr="0050565F">
        <w:rPr>
          <w:rFonts w:cstheme="minorHAnsi"/>
          <w:i/>
          <w:iCs/>
          <w:shd w:val="clear" w:color="auto" w:fill="FFFFFF"/>
          <w:lang w:val="fr-FR"/>
        </w:rPr>
        <w:t>.</w:t>
      </w:r>
      <w:r w:rsidR="00A160DA">
        <w:rPr>
          <w:rFonts w:cstheme="minorHAnsi"/>
          <w:i/>
          <w:iCs/>
          <w:shd w:val="clear" w:color="auto" w:fill="FFFFFF"/>
          <w:lang w:val="fr-FR"/>
        </w:rPr>
        <w:tab/>
      </w:r>
      <w:r w:rsidRPr="003E2D3B">
        <w:rPr>
          <w:rFonts w:cstheme="minorHAnsi"/>
          <w:i/>
          <w:iCs/>
          <w:shd w:val="clear" w:color="auto" w:fill="FFFFFF"/>
          <w:lang w:val="fr-FR"/>
        </w:rPr>
        <w:t>Par dérogation à l'article 499/14, le juge de paix fixe dans l'ordonnance où les père et mère sont désignés comme administrateurs de la personne protégée, le moment où ou les circonstances dans lesquelles et les modalités selon lesquelles les parents font rapport.</w:t>
      </w:r>
    </w:p>
    <w:p w14:paraId="37D27126" w14:textId="77777777" w:rsidR="003E2D3B" w:rsidRPr="003E2D3B" w:rsidRDefault="003E2D3B" w:rsidP="00114701">
      <w:pPr>
        <w:jc w:val="both"/>
        <w:rPr>
          <w:rFonts w:cstheme="minorHAnsi"/>
          <w:lang w:val="fr-FR"/>
        </w:rPr>
      </w:pPr>
    </w:p>
    <w:p w14:paraId="2CB5D5F3" w14:textId="4CD8E4E8" w:rsidR="003E2D3B" w:rsidRDefault="003E2D3B" w:rsidP="00114701">
      <w:pPr>
        <w:jc w:val="both"/>
        <w:rPr>
          <w:rFonts w:cstheme="minorHAnsi"/>
        </w:rPr>
      </w:pPr>
      <w:r w:rsidRPr="003E2D3B">
        <w:rPr>
          <w:rFonts w:cstheme="minorHAnsi"/>
        </w:rPr>
        <w:t>Ingevoegd bij art. 110 Wet 17 maart 2013 (</w:t>
      </w:r>
      <w:r w:rsidRPr="003E2D3B">
        <w:rPr>
          <w:rFonts w:cstheme="minorHAnsi"/>
          <w:i/>
          <w:iCs/>
        </w:rPr>
        <w:t>BS</w:t>
      </w:r>
      <w:r w:rsidRPr="003E2D3B">
        <w:rPr>
          <w:rFonts w:cstheme="minorHAnsi"/>
        </w:rPr>
        <w:t xml:space="preserve"> 14 juni 2013 (ed. 2)), met ingang van 1 september 2014 (art. 233, zelf vervangen bij art. 22 Wet 12 mei 2014 (</w:t>
      </w:r>
      <w:r w:rsidRPr="003E2D3B">
        <w:rPr>
          <w:rFonts w:cstheme="minorHAnsi"/>
          <w:i/>
          <w:iCs/>
        </w:rPr>
        <w:t>BS</w:t>
      </w:r>
      <w:r w:rsidRPr="003E2D3B">
        <w:rPr>
          <w:rFonts w:cstheme="minorHAnsi"/>
        </w:rPr>
        <w:t xml:space="preserve"> 19 mei 2014)), en gewijzigd bij art. 35 Wet 21 december 2018 (</w:t>
      </w:r>
      <w:r w:rsidRPr="00314F31">
        <w:rPr>
          <w:rFonts w:cstheme="minorHAnsi"/>
          <w:i/>
          <w:iCs/>
        </w:rPr>
        <w:t>BS</w:t>
      </w:r>
      <w:r w:rsidRPr="003E2D3B">
        <w:rPr>
          <w:rFonts w:cstheme="minorHAnsi"/>
        </w:rPr>
        <w:t xml:space="preserve"> 31 december 2018), met ingang van 1 maart 2019 (art. 98).</w:t>
      </w:r>
    </w:p>
    <w:p w14:paraId="46791E91" w14:textId="77777777" w:rsidR="00192E1C" w:rsidRPr="00114701" w:rsidRDefault="00192E1C" w:rsidP="00114701">
      <w:pPr>
        <w:jc w:val="both"/>
        <w:rPr>
          <w:rFonts w:cstheme="minorHAnsi"/>
        </w:rPr>
      </w:pPr>
    </w:p>
    <w:p w14:paraId="42053222" w14:textId="0B0463E3" w:rsidR="00C146D0" w:rsidRPr="00A4489D" w:rsidRDefault="007B0F0D" w:rsidP="00114701">
      <w:pPr>
        <w:jc w:val="both"/>
      </w:pPr>
      <w:r w:rsidRPr="00A4489D">
        <w:rPr>
          <w:lang w:val="nl-NL"/>
        </w:rPr>
        <w:t>Zie</w:t>
      </w:r>
      <w:r w:rsidR="00E57476">
        <w:rPr>
          <w:lang w:val="nl-NL"/>
        </w:rPr>
        <w:t>:</w:t>
      </w:r>
      <w:r w:rsidRPr="00A4489D">
        <w:rPr>
          <w:lang w:val="nl-NL"/>
        </w:rPr>
        <w:t xml:space="preserve"> art. </w:t>
      </w:r>
      <w:r w:rsidR="00C146D0" w:rsidRPr="00A4489D">
        <w:t>494, art. 496/3-/4, 498/3-/4, 497/8, 499/6, 499/14,</w:t>
      </w:r>
      <w:r w:rsidR="00CC5C1F" w:rsidRPr="00A4489D">
        <w:t xml:space="preserve"> </w:t>
      </w:r>
      <w:r w:rsidR="000A5D2B" w:rsidRPr="00A4489D">
        <w:t xml:space="preserve">500, 500/1, 500/3 en </w:t>
      </w:r>
      <w:r w:rsidR="00CC5C1F" w:rsidRPr="00A4489D">
        <w:t>500/4 oud BW</w:t>
      </w:r>
      <w:r w:rsidR="000A5D2B" w:rsidRPr="00A4489D">
        <w:t xml:space="preserve">; </w:t>
      </w:r>
      <w:r w:rsidR="008814E8">
        <w:t>a</w:t>
      </w:r>
      <w:r w:rsidR="00C146D0" w:rsidRPr="00A4489D">
        <w:t>rt. 1249/3 en 1253/2 Ger.W.</w:t>
      </w:r>
    </w:p>
    <w:p w14:paraId="0054D788" w14:textId="77777777" w:rsidR="00BA3632" w:rsidRPr="000A5D2B" w:rsidRDefault="00BA3632">
      <w:pPr>
        <w:spacing w:after="160" w:line="259" w:lineRule="auto"/>
        <w:rPr>
          <w:b/>
          <w:bCs/>
          <w:sz w:val="28"/>
          <w:szCs w:val="28"/>
        </w:rPr>
      </w:pPr>
      <w:r w:rsidRPr="000A5D2B">
        <w:rPr>
          <w:b/>
          <w:bCs/>
          <w:sz w:val="28"/>
          <w:szCs w:val="28"/>
        </w:rPr>
        <w:br w:type="page"/>
      </w:r>
    </w:p>
    <w:p w14:paraId="0F1D5709" w14:textId="5D9FD893" w:rsidR="00505058" w:rsidRPr="00AD5715" w:rsidRDefault="00505058" w:rsidP="00D85703">
      <w:pPr>
        <w:jc w:val="both"/>
        <w:rPr>
          <w:b/>
          <w:bCs/>
          <w:sz w:val="28"/>
          <w:szCs w:val="28"/>
          <w:lang w:val="nl-NL"/>
        </w:rPr>
      </w:pPr>
      <w:r w:rsidRPr="00AD5715">
        <w:rPr>
          <w:b/>
          <w:bCs/>
          <w:sz w:val="28"/>
          <w:szCs w:val="28"/>
          <w:lang w:val="nl-NL"/>
        </w:rPr>
        <w:lastRenderedPageBreak/>
        <w:t xml:space="preserve">Commentaar bij art. </w:t>
      </w:r>
      <w:r w:rsidR="003E2D3B">
        <w:rPr>
          <w:b/>
          <w:bCs/>
          <w:sz w:val="28"/>
          <w:szCs w:val="28"/>
          <w:lang w:val="nl-NL"/>
        </w:rPr>
        <w:t>500/2</w:t>
      </w:r>
      <w:r w:rsidR="00906FDB" w:rsidRPr="00AD5715">
        <w:rPr>
          <w:b/>
          <w:bCs/>
          <w:sz w:val="28"/>
          <w:szCs w:val="28"/>
          <w:lang w:val="nl-NL"/>
        </w:rPr>
        <w:t xml:space="preserve"> oud BW</w:t>
      </w:r>
      <w:r w:rsidR="00EC663E" w:rsidRPr="00AD5715">
        <w:rPr>
          <w:b/>
          <w:bCs/>
          <w:sz w:val="28"/>
          <w:szCs w:val="28"/>
          <w:lang w:val="nl-NL"/>
        </w:rPr>
        <w:t xml:space="preserve"> – </w:t>
      </w:r>
      <w:r w:rsidR="003E2D3B">
        <w:rPr>
          <w:b/>
          <w:bCs/>
          <w:sz w:val="28"/>
          <w:szCs w:val="28"/>
          <w:lang w:val="nl-NL"/>
        </w:rPr>
        <w:t xml:space="preserve">Verslaggevingsverplichting </w:t>
      </w:r>
      <w:r w:rsidR="00325440">
        <w:rPr>
          <w:b/>
          <w:bCs/>
          <w:sz w:val="28"/>
          <w:szCs w:val="28"/>
          <w:lang w:val="nl-NL"/>
        </w:rPr>
        <w:t xml:space="preserve">bij </w:t>
      </w:r>
      <w:r w:rsidR="000A5D2B">
        <w:rPr>
          <w:b/>
          <w:bCs/>
          <w:sz w:val="28"/>
          <w:szCs w:val="28"/>
          <w:lang w:val="nl-NL"/>
        </w:rPr>
        <w:t>ouderlijk bewind</w:t>
      </w:r>
    </w:p>
    <w:p w14:paraId="156CED82" w14:textId="77777777" w:rsidR="00505058" w:rsidRPr="00AD5715" w:rsidRDefault="00505058" w:rsidP="00D85703">
      <w:pPr>
        <w:jc w:val="both"/>
        <w:rPr>
          <w:lang w:val="nl-NL"/>
        </w:rPr>
      </w:pPr>
    </w:p>
    <w:p w14:paraId="5119B44D" w14:textId="02D2BEDC" w:rsidR="00505058" w:rsidRPr="00AD5715" w:rsidRDefault="00505058" w:rsidP="00D85703">
      <w:pPr>
        <w:jc w:val="both"/>
        <w:rPr>
          <w:lang w:val="nl-NL"/>
        </w:rPr>
      </w:pPr>
      <w:r w:rsidRPr="00AD5715">
        <w:rPr>
          <w:lang w:val="nl-NL"/>
        </w:rPr>
        <w:t xml:space="preserve">Auteur: </w:t>
      </w:r>
      <w:r w:rsidR="00906FDB" w:rsidRPr="00AD5715">
        <w:rPr>
          <w:lang w:val="nl-NL"/>
        </w:rPr>
        <w:t>Amber JANS</w:t>
      </w:r>
    </w:p>
    <w:p w14:paraId="34CDF89D" w14:textId="77777777" w:rsidR="00F052DB" w:rsidRPr="00AD5715" w:rsidRDefault="00F052DB" w:rsidP="00D85703">
      <w:pPr>
        <w:jc w:val="both"/>
        <w:rPr>
          <w:lang w:val="nl-NL"/>
        </w:rPr>
      </w:pPr>
    </w:p>
    <w:p w14:paraId="5C6C8C6F" w14:textId="6476CD65" w:rsidR="00505058" w:rsidRPr="00AD5715" w:rsidRDefault="00505058" w:rsidP="00D85703">
      <w:pPr>
        <w:jc w:val="both"/>
        <w:rPr>
          <w:i/>
          <w:iCs/>
          <w:sz w:val="20"/>
          <w:szCs w:val="20"/>
          <w:lang w:val="nl-NL"/>
        </w:rPr>
      </w:pPr>
      <w:r w:rsidRPr="00AD5715">
        <w:rPr>
          <w:i/>
          <w:iCs/>
          <w:sz w:val="20"/>
          <w:szCs w:val="20"/>
          <w:lang w:val="nl-NL"/>
        </w:rPr>
        <w:t xml:space="preserve">Bijwerking: </w:t>
      </w:r>
      <w:r w:rsidR="003E2D3B">
        <w:rPr>
          <w:i/>
          <w:iCs/>
          <w:sz w:val="20"/>
          <w:szCs w:val="20"/>
          <w:highlight w:val="yellow"/>
          <w:lang w:val="nl-NL"/>
        </w:rPr>
        <w:t>1</w:t>
      </w:r>
      <w:r w:rsidR="004465B9" w:rsidRPr="00AD5715">
        <w:rPr>
          <w:i/>
          <w:iCs/>
          <w:sz w:val="20"/>
          <w:szCs w:val="20"/>
          <w:highlight w:val="yellow"/>
          <w:lang w:val="nl-NL"/>
        </w:rPr>
        <w:t xml:space="preserve"> </w:t>
      </w:r>
      <w:r w:rsidR="003E2D3B">
        <w:rPr>
          <w:i/>
          <w:iCs/>
          <w:sz w:val="20"/>
          <w:szCs w:val="20"/>
          <w:highlight w:val="yellow"/>
          <w:lang w:val="nl-NL"/>
        </w:rPr>
        <w:t>mei</w:t>
      </w:r>
      <w:r w:rsidR="004465B9" w:rsidRPr="00AD5715">
        <w:rPr>
          <w:i/>
          <w:iCs/>
          <w:sz w:val="20"/>
          <w:szCs w:val="20"/>
          <w:highlight w:val="yellow"/>
          <w:lang w:val="nl-NL"/>
        </w:rPr>
        <w:t xml:space="preserve"> 20</w:t>
      </w:r>
      <w:r w:rsidR="004465B9" w:rsidRPr="003E2D3B">
        <w:rPr>
          <w:i/>
          <w:iCs/>
          <w:sz w:val="20"/>
          <w:szCs w:val="20"/>
          <w:highlight w:val="yellow"/>
          <w:lang w:val="nl-NL"/>
        </w:rPr>
        <w:t>2</w:t>
      </w:r>
      <w:r w:rsidR="003E2D3B" w:rsidRPr="003E2D3B">
        <w:rPr>
          <w:i/>
          <w:iCs/>
          <w:sz w:val="20"/>
          <w:szCs w:val="20"/>
          <w:highlight w:val="yellow"/>
          <w:lang w:val="nl-NL"/>
        </w:rPr>
        <w:t>6</w:t>
      </w:r>
    </w:p>
    <w:p w14:paraId="5392F9C7" w14:textId="77777777" w:rsidR="00F052DB" w:rsidRPr="00AD5715" w:rsidRDefault="00F052DB" w:rsidP="00D85703">
      <w:pPr>
        <w:jc w:val="both"/>
        <w:rPr>
          <w:lang w:val="nl-NL"/>
        </w:rPr>
      </w:pPr>
    </w:p>
    <w:p w14:paraId="39AC64CF" w14:textId="2B78C01F" w:rsidR="00C146D0" w:rsidRPr="00D608C0" w:rsidRDefault="00505058" w:rsidP="00C146D0">
      <w:pPr>
        <w:spacing w:after="240"/>
        <w:jc w:val="both"/>
        <w:rPr>
          <w:i/>
          <w:iCs/>
          <w:lang w:val="fr-FR"/>
        </w:rPr>
      </w:pPr>
      <w:r w:rsidRPr="00D608C0">
        <w:rPr>
          <w:i/>
          <w:iCs/>
          <w:lang w:val="fr-FR"/>
        </w:rPr>
        <w:t>BELANGRIJKSTE RECHTSLEER</w:t>
      </w:r>
    </w:p>
    <w:p w14:paraId="25A43D4E" w14:textId="77777777" w:rsidR="00C146D0" w:rsidRPr="00C146D0" w:rsidRDefault="00C146D0" w:rsidP="00C146D0">
      <w:pPr>
        <w:pStyle w:val="Voetnoottekst"/>
        <w:spacing w:after="240"/>
        <w:jc w:val="both"/>
        <w:rPr>
          <w:rFonts w:cstheme="minorHAnsi"/>
          <w:sz w:val="22"/>
          <w:szCs w:val="22"/>
          <w:lang w:val="fr-FR"/>
        </w:rPr>
      </w:pPr>
      <w:r w:rsidRPr="00C146D0">
        <w:rPr>
          <w:rFonts w:cstheme="minorHAnsi"/>
          <w:sz w:val="22"/>
          <w:szCs w:val="22"/>
          <w:lang w:val="fr-FR"/>
        </w:rPr>
        <w:t xml:space="preserve">DEGUEL F., ‘La loi du 17 mars 2013 réformant les régimes d’incapacité et instaurant un nouveau statut de protection conforme à la dignité humaine: vers un simplification’, </w:t>
      </w:r>
      <w:r w:rsidRPr="00C146D0">
        <w:rPr>
          <w:rFonts w:cstheme="minorHAnsi"/>
          <w:i/>
          <w:iCs/>
          <w:sz w:val="22"/>
          <w:szCs w:val="22"/>
          <w:lang w:val="fr-FR"/>
        </w:rPr>
        <w:t>TBBR</w:t>
      </w:r>
      <w:r w:rsidRPr="00C146D0">
        <w:rPr>
          <w:rFonts w:cstheme="minorHAnsi"/>
          <w:sz w:val="22"/>
          <w:szCs w:val="22"/>
          <w:lang w:val="fr-FR"/>
        </w:rPr>
        <w:t xml:space="preserve"> 2013/6, (290) 309.</w:t>
      </w:r>
    </w:p>
    <w:p w14:paraId="28D0A697" w14:textId="77777777" w:rsidR="00C146D0" w:rsidRPr="006F7B6A" w:rsidRDefault="00C146D0" w:rsidP="00C146D0">
      <w:pPr>
        <w:spacing w:after="240"/>
        <w:jc w:val="both"/>
        <w:rPr>
          <w:rFonts w:cstheme="minorHAnsi"/>
          <w:lang w:val="fr-FR"/>
        </w:rPr>
      </w:pPr>
      <w:r w:rsidRPr="006F7B6A">
        <w:rPr>
          <w:rFonts w:cstheme="minorHAnsi"/>
          <w:lang w:val="fr-FR"/>
        </w:rPr>
        <w:t xml:space="preserve">DEGUEL F., ‘Pot-pourri pour les personnes majeures protégées’, </w:t>
      </w:r>
      <w:r w:rsidRPr="006F7B6A">
        <w:rPr>
          <w:rFonts w:cstheme="minorHAnsi"/>
          <w:i/>
          <w:iCs/>
          <w:lang w:val="fr-FR"/>
        </w:rPr>
        <w:t>JT</w:t>
      </w:r>
      <w:r w:rsidRPr="006F7B6A">
        <w:rPr>
          <w:rFonts w:cstheme="minorHAnsi"/>
          <w:lang w:val="fr-FR"/>
        </w:rPr>
        <w:t xml:space="preserve"> 2019/19, (369) 377-378.</w:t>
      </w:r>
    </w:p>
    <w:p w14:paraId="6793ACBF" w14:textId="77777777" w:rsidR="00C146D0" w:rsidRPr="006F7B6A" w:rsidRDefault="00C146D0" w:rsidP="00C146D0">
      <w:pPr>
        <w:spacing w:after="240"/>
        <w:jc w:val="both"/>
      </w:pPr>
      <w:r w:rsidRPr="006F7B6A">
        <w:t xml:space="preserve">FRESON I. en JANS A., ‘Bewindvoering in transitie: de impact van de wet van 8 november 2023 betreffende het statuut van bewindvoerder over een beschermde persoon op familiale en professionele bewindvoerders’, </w:t>
      </w:r>
      <w:r w:rsidRPr="006F7B6A">
        <w:rPr>
          <w:i/>
          <w:iCs/>
        </w:rPr>
        <w:t xml:space="preserve">T.Fam. </w:t>
      </w:r>
      <w:r w:rsidRPr="006F7B6A">
        <w:t>2025/6, 185-203.</w:t>
      </w:r>
    </w:p>
    <w:p w14:paraId="2756F694" w14:textId="77777777" w:rsidR="00C146D0" w:rsidRPr="006F7B6A" w:rsidRDefault="00C146D0" w:rsidP="00C146D0">
      <w:pPr>
        <w:spacing w:after="240"/>
        <w:jc w:val="both"/>
        <w:rPr>
          <w:rFonts w:cstheme="minorHAnsi"/>
          <w:lang w:val="fr-FR"/>
        </w:rPr>
      </w:pPr>
      <w:r w:rsidRPr="006F7B6A">
        <w:rPr>
          <w:rFonts w:cstheme="minorHAnsi"/>
          <w:lang w:val="fr-FR"/>
        </w:rPr>
        <w:t xml:space="preserve">GALLUS N., ‘Section 4. Protection judiciaire de la personne’ in RENCHON J.-L. (ed.), </w:t>
      </w:r>
      <w:r w:rsidRPr="006F7B6A">
        <w:rPr>
          <w:rFonts w:cstheme="minorHAnsi"/>
          <w:i/>
          <w:iCs/>
          <w:lang w:val="fr-FR"/>
        </w:rPr>
        <w:t xml:space="preserve">Etats généraux du droit de la famille, </w:t>
      </w:r>
      <w:r w:rsidRPr="006F7B6A">
        <w:rPr>
          <w:rFonts w:cstheme="minorHAnsi"/>
          <w:lang w:val="fr-FR"/>
        </w:rPr>
        <w:t>Bruylant, 2014, (47) 58.</w:t>
      </w:r>
    </w:p>
    <w:p w14:paraId="4E3E416A" w14:textId="77777777" w:rsidR="00C146D0" w:rsidRPr="006F7B6A" w:rsidRDefault="00C146D0" w:rsidP="00C146D0">
      <w:pPr>
        <w:spacing w:after="240"/>
        <w:jc w:val="both"/>
        <w:rPr>
          <w:lang w:val="nl-NL"/>
        </w:rPr>
      </w:pPr>
      <w:bookmarkStart w:id="0" w:name="_Hlk219713997"/>
      <w:r w:rsidRPr="006F7B6A">
        <w:rPr>
          <w:lang w:val="nl-NL"/>
        </w:rPr>
        <w:t xml:space="preserve">JANS A., ‘De verslaggevingsverplichting van ouders-bewindvoerders: soepel en vereenvoudigd of (te) zware belasting? (noot onder Vred. Brugge (I) 25 september 2024)’, </w:t>
      </w:r>
      <w:r w:rsidRPr="006F7B6A">
        <w:rPr>
          <w:i/>
          <w:iCs/>
          <w:lang w:val="nl-NL"/>
        </w:rPr>
        <w:t xml:space="preserve">T.Fam. </w:t>
      </w:r>
      <w:r w:rsidRPr="006F7B6A">
        <w:rPr>
          <w:lang w:val="nl-NL"/>
        </w:rPr>
        <w:t>2025/6, 204-211.</w:t>
      </w:r>
    </w:p>
    <w:bookmarkEnd w:id="0"/>
    <w:p w14:paraId="45605B72" w14:textId="77777777" w:rsidR="00C146D0" w:rsidRPr="006F7B6A" w:rsidRDefault="00C146D0" w:rsidP="00C146D0">
      <w:pPr>
        <w:spacing w:after="240"/>
        <w:jc w:val="both"/>
        <w:rPr>
          <w:lang w:val="nl-NL"/>
        </w:rPr>
      </w:pPr>
      <w:r w:rsidRPr="006F7B6A">
        <w:rPr>
          <w:lang w:val="nl-NL"/>
        </w:rPr>
        <w:t xml:space="preserve">JANS A., 'Eenvoud als illusie? De ongelijke toepassing van de vereenvoudigde verslaggevingsverplichting van ouders-bewindvoerders (noot onder Vred. Torhout 15 mei 2025)', </w:t>
      </w:r>
      <w:r w:rsidRPr="006F7B6A">
        <w:rPr>
          <w:i/>
          <w:iCs/>
          <w:lang w:val="nl-NL"/>
        </w:rPr>
        <w:t>T.Vred.</w:t>
      </w:r>
      <w:r w:rsidRPr="006F7B6A">
        <w:rPr>
          <w:lang w:val="nl-NL"/>
        </w:rPr>
        <w:t xml:space="preserve"> 2025/9-10, 616-625.</w:t>
      </w:r>
    </w:p>
    <w:p w14:paraId="1CA0F963" w14:textId="77777777" w:rsidR="00C146D0" w:rsidRPr="006F7B6A" w:rsidRDefault="00C146D0" w:rsidP="00C146D0">
      <w:pPr>
        <w:spacing w:after="240"/>
        <w:jc w:val="both"/>
        <w:rPr>
          <w:rFonts w:cstheme="minorHAnsi"/>
        </w:rPr>
      </w:pPr>
      <w:r w:rsidRPr="006F7B6A">
        <w:rPr>
          <w:rFonts w:cstheme="minorHAnsi"/>
        </w:rPr>
        <w:t xml:space="preserve">MEVESEN B., ‘Het bewind: werking en organisatie’ in SENAEVE P., SWENNEN F. en VERSCHELDEN G. (eds.), </w:t>
      </w:r>
      <w:r w:rsidRPr="006F7B6A">
        <w:rPr>
          <w:rFonts w:cstheme="minorHAnsi"/>
          <w:i/>
          <w:iCs/>
        </w:rPr>
        <w:t>Meerderjarige beschermde personen</w:t>
      </w:r>
      <w:r w:rsidRPr="006F7B6A">
        <w:rPr>
          <w:rFonts w:cstheme="minorHAnsi"/>
        </w:rPr>
        <w:t>, die Keure, 2014, (141) 150-151.</w:t>
      </w:r>
    </w:p>
    <w:p w14:paraId="668BFDB0" w14:textId="77777777" w:rsidR="00C146D0" w:rsidRPr="006F7B6A" w:rsidRDefault="00C146D0" w:rsidP="00C146D0">
      <w:pPr>
        <w:spacing w:after="240"/>
        <w:jc w:val="both"/>
        <w:rPr>
          <w:rFonts w:cstheme="minorHAnsi"/>
          <w:lang w:val="fr-FR"/>
        </w:rPr>
      </w:pPr>
      <w:r w:rsidRPr="006F7B6A">
        <w:rPr>
          <w:rFonts w:cstheme="minorHAnsi"/>
          <w:lang w:val="fr-FR"/>
        </w:rPr>
        <w:t xml:space="preserve">RENCHON J.-L., ‘Le nouveau régime de la protection judiciaire des incapables majeurs: présentation générale’, </w:t>
      </w:r>
      <w:r w:rsidRPr="006F7B6A">
        <w:rPr>
          <w:rFonts w:cstheme="minorHAnsi"/>
          <w:i/>
          <w:iCs/>
          <w:lang w:val="fr-FR"/>
        </w:rPr>
        <w:t>RTDF</w:t>
      </w:r>
      <w:r w:rsidRPr="006F7B6A">
        <w:rPr>
          <w:rFonts w:cstheme="minorHAnsi"/>
          <w:lang w:val="fr-FR"/>
        </w:rPr>
        <w:t xml:space="preserve"> 2014/2, (241) 263.</w:t>
      </w:r>
    </w:p>
    <w:p w14:paraId="23904805" w14:textId="77777777" w:rsidR="00C146D0" w:rsidRPr="006F7B6A" w:rsidRDefault="00C146D0" w:rsidP="00C146D0">
      <w:pPr>
        <w:spacing w:after="240"/>
        <w:jc w:val="both"/>
        <w:rPr>
          <w:rFonts w:cstheme="minorHAnsi"/>
        </w:rPr>
      </w:pPr>
      <w:r w:rsidRPr="006F7B6A">
        <w:rPr>
          <w:rFonts w:cstheme="minorHAnsi"/>
        </w:rPr>
        <w:t xml:space="preserve">SCHEERS D. en SCHEERS C., ‘Bescherming van meerderjarige onbekwamen: op maat van de praktijk (Deel I)’, </w:t>
      </w:r>
      <w:r w:rsidRPr="006F7B6A">
        <w:rPr>
          <w:rFonts w:cstheme="minorHAnsi"/>
          <w:i/>
          <w:iCs/>
        </w:rPr>
        <w:t>RW</w:t>
      </w:r>
      <w:r w:rsidRPr="006F7B6A">
        <w:rPr>
          <w:rFonts w:cstheme="minorHAnsi"/>
        </w:rPr>
        <w:t xml:space="preserve"> 2018-2019/39, (1522) 1531.</w:t>
      </w:r>
    </w:p>
    <w:p w14:paraId="71279DB0" w14:textId="77777777" w:rsidR="00C146D0" w:rsidRPr="00C146D0" w:rsidRDefault="00C146D0" w:rsidP="00C146D0">
      <w:pPr>
        <w:pStyle w:val="Voetnoottekst"/>
        <w:spacing w:after="240"/>
        <w:jc w:val="both"/>
        <w:rPr>
          <w:rFonts w:cstheme="minorHAnsi"/>
          <w:sz w:val="22"/>
          <w:szCs w:val="22"/>
        </w:rPr>
      </w:pPr>
      <w:r w:rsidRPr="00C146D0">
        <w:rPr>
          <w:rFonts w:cstheme="minorHAnsi"/>
          <w:sz w:val="22"/>
          <w:szCs w:val="22"/>
        </w:rPr>
        <w:t xml:space="preserve">SCHEERS D. en SCHEERS C., ‘De vrederechter, de bewindvoerder en het bewind: een jaar later. In de beperking kent men de meester’, </w:t>
      </w:r>
      <w:r w:rsidRPr="00C146D0">
        <w:rPr>
          <w:rFonts w:cstheme="minorHAnsi"/>
          <w:i/>
          <w:iCs/>
          <w:sz w:val="22"/>
          <w:szCs w:val="22"/>
        </w:rPr>
        <w:t>T.Vred.</w:t>
      </w:r>
      <w:r w:rsidRPr="00C146D0">
        <w:rPr>
          <w:rFonts w:cstheme="minorHAnsi"/>
          <w:sz w:val="22"/>
          <w:szCs w:val="22"/>
        </w:rPr>
        <w:t xml:space="preserve"> 2015/7-8, (273) 285.</w:t>
      </w:r>
    </w:p>
    <w:p w14:paraId="17D959C8" w14:textId="77777777" w:rsidR="00C146D0" w:rsidRPr="00C146D0" w:rsidRDefault="00C146D0" w:rsidP="00C146D0">
      <w:pPr>
        <w:pStyle w:val="Voetnoottekst"/>
        <w:spacing w:after="240"/>
        <w:jc w:val="both"/>
        <w:rPr>
          <w:rFonts w:cstheme="minorHAnsi"/>
          <w:sz w:val="22"/>
          <w:szCs w:val="22"/>
        </w:rPr>
      </w:pPr>
      <w:r w:rsidRPr="00C146D0">
        <w:rPr>
          <w:rFonts w:cstheme="minorHAnsi"/>
          <w:sz w:val="22"/>
          <w:szCs w:val="22"/>
        </w:rPr>
        <w:t xml:space="preserve">SCHEERS D. en SCHEERS C., </w:t>
      </w:r>
      <w:r w:rsidRPr="00C146D0">
        <w:rPr>
          <w:rFonts w:cstheme="minorHAnsi"/>
          <w:i/>
          <w:iCs/>
          <w:sz w:val="22"/>
          <w:szCs w:val="22"/>
        </w:rPr>
        <w:t xml:space="preserve">Bewind 2.0. Artikelsgewijze commentaar bescherming meerderjarige personen na de wet van 21 december 2018, </w:t>
      </w:r>
      <w:r w:rsidRPr="00C146D0">
        <w:rPr>
          <w:rFonts w:cstheme="minorHAnsi"/>
          <w:sz w:val="22"/>
          <w:szCs w:val="22"/>
        </w:rPr>
        <w:t>Intersentia, 2019, 96-97.</w:t>
      </w:r>
    </w:p>
    <w:p w14:paraId="0856166A" w14:textId="1594FB8F" w:rsidR="00C146D0" w:rsidRPr="006F7B6A" w:rsidRDefault="00C146D0" w:rsidP="00C146D0">
      <w:pPr>
        <w:spacing w:after="240"/>
        <w:jc w:val="both"/>
      </w:pPr>
      <w:r w:rsidRPr="006F7B6A">
        <w:rPr>
          <w:rFonts w:cstheme="minorHAnsi"/>
        </w:rPr>
        <w:t>VAN DEN EEDEN E., ‘Rol van de bewindvoerder’ in ROTTHIER K., WUYTS T.</w:t>
      </w:r>
      <w:r w:rsidR="00314F31">
        <w:rPr>
          <w:rFonts w:cstheme="minorHAnsi"/>
        </w:rPr>
        <w:t xml:space="preserve">, </w:t>
      </w:r>
      <w:r w:rsidRPr="006F7B6A">
        <w:rPr>
          <w:rFonts w:cstheme="minorHAnsi"/>
        </w:rPr>
        <w:t>VAN DEN EEDEN E.</w:t>
      </w:r>
      <w:r w:rsidR="00314F31">
        <w:rPr>
          <w:rFonts w:cstheme="minorHAnsi"/>
        </w:rPr>
        <w:t xml:space="preserve"> en BOGAERT J.</w:t>
      </w:r>
      <w:r w:rsidRPr="006F7B6A">
        <w:rPr>
          <w:rFonts w:cstheme="minorHAnsi"/>
        </w:rPr>
        <w:t xml:space="preserve">, </w:t>
      </w:r>
      <w:r w:rsidRPr="006F7B6A">
        <w:rPr>
          <w:rFonts w:cstheme="minorHAnsi"/>
          <w:i/>
          <w:iCs/>
        </w:rPr>
        <w:t>Handboek bescherming wilsonbekwamen. Zorgvolmacht en bewind na de wet van 21 december 2018</w:t>
      </w:r>
      <w:r w:rsidRPr="006F7B6A">
        <w:rPr>
          <w:rFonts w:cstheme="minorHAnsi"/>
        </w:rPr>
        <w:t>, Kluwer, 2020, (301) 376.</w:t>
      </w:r>
    </w:p>
    <w:p w14:paraId="69A6A24B" w14:textId="77777777" w:rsidR="00C146D0" w:rsidRPr="00C146D0" w:rsidRDefault="00C146D0" w:rsidP="00C146D0">
      <w:pPr>
        <w:pStyle w:val="Voetnoottekst"/>
        <w:spacing w:after="240"/>
        <w:jc w:val="both"/>
        <w:rPr>
          <w:rFonts w:cstheme="minorHAnsi"/>
          <w:sz w:val="22"/>
          <w:szCs w:val="22"/>
        </w:rPr>
      </w:pPr>
      <w:r w:rsidRPr="00C146D0">
        <w:rPr>
          <w:rFonts w:cstheme="minorHAnsi"/>
          <w:sz w:val="22"/>
          <w:szCs w:val="22"/>
        </w:rPr>
        <w:t xml:space="preserve">VANDERHULST V., </w:t>
      </w:r>
      <w:r w:rsidRPr="00C146D0">
        <w:rPr>
          <w:rFonts w:cstheme="minorHAnsi"/>
          <w:i/>
          <w:iCs/>
          <w:sz w:val="22"/>
          <w:szCs w:val="22"/>
        </w:rPr>
        <w:t>Zorgplanning voor meerderjarige zorgenkinderen. Persoonsrechtelijke, familiaal(vermogens)rechtelijke en sociaalrechtelijke aspecten</w:t>
      </w:r>
      <w:r w:rsidRPr="00C146D0">
        <w:rPr>
          <w:rFonts w:cstheme="minorHAnsi"/>
          <w:sz w:val="22"/>
          <w:szCs w:val="22"/>
        </w:rPr>
        <w:t>, Kluwer, 2024, 685-686.</w:t>
      </w:r>
    </w:p>
    <w:p w14:paraId="01EBA50C" w14:textId="77777777" w:rsidR="00175197" w:rsidRPr="006F7B6A" w:rsidRDefault="00175197" w:rsidP="00175197">
      <w:pPr>
        <w:spacing w:after="240"/>
        <w:jc w:val="both"/>
        <w:rPr>
          <w:rFonts w:cstheme="minorHAnsi"/>
        </w:rPr>
      </w:pPr>
      <w:r w:rsidRPr="006F7B6A">
        <w:rPr>
          <w:rFonts w:cstheme="minorHAnsi"/>
        </w:rPr>
        <w:t xml:space="preserve">WUYTS T., </w:t>
      </w:r>
      <w:r w:rsidRPr="006F7B6A">
        <w:rPr>
          <w:rFonts w:cstheme="minorHAnsi"/>
          <w:i/>
          <w:iCs/>
        </w:rPr>
        <w:t>Vermogensbeheer door ouder(s), voogd en voorlopige bewindvoerder</w:t>
      </w:r>
      <w:r w:rsidRPr="006F7B6A">
        <w:rPr>
          <w:rFonts w:cstheme="minorHAnsi"/>
        </w:rPr>
        <w:t>, Intersentia, 2005, 119.</w:t>
      </w:r>
    </w:p>
    <w:p w14:paraId="38AD0385" w14:textId="77777777" w:rsidR="00C146D0" w:rsidRDefault="00C146D0" w:rsidP="00C146D0">
      <w:pPr>
        <w:spacing w:after="240"/>
        <w:jc w:val="both"/>
      </w:pPr>
      <w:r w:rsidRPr="006F7B6A">
        <w:lastRenderedPageBreak/>
        <w:t xml:space="preserve">WUYTS T., ‘Bewindvoering’ in BREWAEYS E., CLEMENT J., OPGENHAFFEN T., QUINA T., VAN DE PUTTE M. en WUYTS T., ‘Overzicht van Rechtspraak. Personenrecht (2009-2022)’, </w:t>
      </w:r>
      <w:r w:rsidRPr="006F7B6A">
        <w:rPr>
          <w:i/>
          <w:iCs/>
        </w:rPr>
        <w:t xml:space="preserve">TPR </w:t>
      </w:r>
      <w:r w:rsidRPr="006F7B6A">
        <w:t>2023/4, (1657) 1703-1705.</w:t>
      </w:r>
    </w:p>
    <w:p w14:paraId="6F7BD1C6" w14:textId="7C2957B1" w:rsidR="00C146D0" w:rsidRPr="00175197" w:rsidRDefault="00C146D0" w:rsidP="006F7B6A">
      <w:pPr>
        <w:spacing w:after="240"/>
        <w:jc w:val="both"/>
        <w:rPr>
          <w:rFonts w:cstheme="minorHAnsi"/>
        </w:rPr>
      </w:pPr>
      <w:r w:rsidRPr="00C146D0">
        <w:rPr>
          <w:rFonts w:cstheme="minorHAnsi"/>
        </w:rPr>
        <w:t>WUYTS T., DANDOY N., SWENNEN F., HENNAU S., HACON M. en JEURISSEN L., ‘Evaluatie van de wet van 17 maart 2013 tot hervorming van de regelingen inzake onbekwaamheid en tot instelling van een nieuwe beschermingsstatus die strookt met de menselijke waardigheid. Eindrapport’, studie uitgevoerd in opdracht van de FOD Justitie overeenkomstig artikel 224 wet 17 maart 2013, juni 2024, 106-207: ‘rechterlijke bescherming’</w:t>
      </w:r>
      <w:r w:rsidR="00A4489D">
        <w:rPr>
          <w:rFonts w:cstheme="minorHAnsi"/>
        </w:rPr>
        <w:t xml:space="preserve">,  </w:t>
      </w:r>
      <w:hyperlink r:id="rId8" w:history="1">
        <w:r w:rsidR="00A4489D" w:rsidRPr="00062837">
          <w:rPr>
            <w:rStyle w:val="Hyperlink"/>
            <w:rFonts w:cstheme="minorHAnsi"/>
          </w:rPr>
          <w:t>www.</w:t>
        </w:r>
        <w:r w:rsidR="00A4489D" w:rsidRPr="00062837">
          <w:rPr>
            <w:rStyle w:val="Hyperlink"/>
            <w:rFonts w:cstheme="minorHAnsi"/>
          </w:rPr>
          <w:t>justitie.belgium.be/nl/publicaties/evaluatie_van_de_wet_van_17_maart_2013</w:t>
        </w:r>
      </w:hyperlink>
      <w:r w:rsidR="00A4489D">
        <w:rPr>
          <w:rFonts w:cstheme="minorHAnsi"/>
        </w:rPr>
        <w:t xml:space="preserve"> (geraadpleegd op 20 maart 2026).</w:t>
      </w:r>
    </w:p>
    <w:p w14:paraId="4EBC83CD" w14:textId="62F96B6B" w:rsidR="00505058" w:rsidRPr="00AD5715" w:rsidRDefault="00505058" w:rsidP="00CC5C1F">
      <w:pPr>
        <w:spacing w:after="240"/>
        <w:rPr>
          <w:i/>
          <w:iCs/>
          <w:lang w:val="nl-NL"/>
        </w:rPr>
      </w:pPr>
      <w:r w:rsidRPr="00AD5715">
        <w:rPr>
          <w:i/>
          <w:iCs/>
          <w:lang w:val="nl-NL"/>
        </w:rPr>
        <w:t>BELANGRIJKSTE RECHTSPRAAK</w:t>
      </w:r>
    </w:p>
    <w:p w14:paraId="019FE448" w14:textId="5350535F" w:rsidR="000A5D2B" w:rsidRPr="000A5D2B" w:rsidRDefault="000A5D2B" w:rsidP="00D85703">
      <w:pPr>
        <w:spacing w:line="360" w:lineRule="auto"/>
      </w:pPr>
      <w:r w:rsidRPr="000A5D2B">
        <w:t>Vred. Landen-Zoutleeuw (zetel L</w:t>
      </w:r>
      <w:r>
        <w:t xml:space="preserve">anden) 24 oktober 2019, </w:t>
      </w:r>
      <w:r>
        <w:rPr>
          <w:i/>
          <w:iCs/>
        </w:rPr>
        <w:t xml:space="preserve">T.Vred. </w:t>
      </w:r>
      <w:r>
        <w:t>2020</w:t>
      </w:r>
      <w:r w:rsidR="00A4489D">
        <w:t>/5-6</w:t>
      </w:r>
      <w:r>
        <w:t>, 317</w:t>
      </w:r>
      <w:r w:rsidR="00122C8C">
        <w:t xml:space="preserve"> (inzake pleegouders)</w:t>
      </w:r>
      <w:r>
        <w:t>.</w:t>
      </w:r>
    </w:p>
    <w:p w14:paraId="4885D91E" w14:textId="320CDB9C" w:rsidR="00122C8C" w:rsidRDefault="00122C8C" w:rsidP="00D85703">
      <w:pPr>
        <w:spacing w:line="360" w:lineRule="auto"/>
      </w:pPr>
      <w:r w:rsidRPr="00122C8C">
        <w:t xml:space="preserve">Vred. Poperinge 5 maart 2024, </w:t>
      </w:r>
      <w:r w:rsidRPr="00122C8C">
        <w:rPr>
          <w:i/>
          <w:iCs/>
        </w:rPr>
        <w:t>T.V</w:t>
      </w:r>
      <w:r>
        <w:rPr>
          <w:i/>
          <w:iCs/>
        </w:rPr>
        <w:t xml:space="preserve">red. </w:t>
      </w:r>
      <w:r>
        <w:t>2025/9-10</w:t>
      </w:r>
      <w:r w:rsidR="00786F1A">
        <w:t>, 590.</w:t>
      </w:r>
    </w:p>
    <w:p w14:paraId="37F3E43E" w14:textId="09707DCC" w:rsidR="00786F1A" w:rsidRDefault="00786F1A" w:rsidP="00786F1A">
      <w:pPr>
        <w:spacing w:line="360" w:lineRule="auto"/>
        <w:rPr>
          <w:lang w:val="en-US"/>
        </w:rPr>
      </w:pPr>
      <w:r w:rsidRPr="00D608C0">
        <w:rPr>
          <w:lang w:val="en-US"/>
        </w:rPr>
        <w:t xml:space="preserve">Vred. </w:t>
      </w:r>
      <w:r w:rsidRPr="00CC5C1F">
        <w:rPr>
          <w:lang w:val="en-US"/>
        </w:rPr>
        <w:t xml:space="preserve">Brugge (I) 25 september 2024, </w:t>
      </w:r>
      <w:r w:rsidRPr="00CC5C1F">
        <w:rPr>
          <w:i/>
          <w:iCs/>
          <w:lang w:val="en-US"/>
        </w:rPr>
        <w:t>T</w:t>
      </w:r>
      <w:r>
        <w:rPr>
          <w:i/>
          <w:iCs/>
          <w:lang w:val="en-US"/>
        </w:rPr>
        <w:t xml:space="preserve">.Fam. </w:t>
      </w:r>
      <w:r>
        <w:rPr>
          <w:lang w:val="en-US"/>
        </w:rPr>
        <w:t>2025/6, 204</w:t>
      </w:r>
      <w:r w:rsidR="00076213">
        <w:rPr>
          <w:lang w:val="en-US"/>
        </w:rPr>
        <w:t>, noot JANS A</w:t>
      </w:r>
      <w:r>
        <w:rPr>
          <w:lang w:val="en-US"/>
        </w:rPr>
        <w:t>.</w:t>
      </w:r>
    </w:p>
    <w:p w14:paraId="62799164" w14:textId="3C5FD370" w:rsidR="00122C8C" w:rsidRPr="00786F1A" w:rsidRDefault="00122C8C" w:rsidP="00D85703">
      <w:pPr>
        <w:spacing w:line="360" w:lineRule="auto"/>
      </w:pPr>
      <w:r>
        <w:t xml:space="preserve">Vred. Brugge (III) 12 maart 2025, </w:t>
      </w:r>
      <w:r w:rsidR="00786F1A">
        <w:rPr>
          <w:i/>
          <w:iCs/>
        </w:rPr>
        <w:t xml:space="preserve">T.Vred. </w:t>
      </w:r>
      <w:r w:rsidR="00786F1A">
        <w:t>2025/9-10, 580.</w:t>
      </w:r>
    </w:p>
    <w:p w14:paraId="5AF34A4E" w14:textId="77777777" w:rsidR="006F7B6A" w:rsidRPr="006F7B6A" w:rsidRDefault="006F7B6A" w:rsidP="006F7B6A">
      <w:pPr>
        <w:spacing w:line="360" w:lineRule="auto"/>
      </w:pPr>
      <w:r w:rsidRPr="006F7B6A">
        <w:t xml:space="preserve">Vred. Brugge (IV) 9 mei 2025, </w:t>
      </w:r>
      <w:r w:rsidRPr="006F7B6A">
        <w:rPr>
          <w:i/>
          <w:iCs/>
        </w:rPr>
        <w:t xml:space="preserve">T.Vred. </w:t>
      </w:r>
      <w:r w:rsidRPr="006F7B6A">
        <w:t>2025/9-10, 581.</w:t>
      </w:r>
    </w:p>
    <w:p w14:paraId="20DF0BED" w14:textId="06CB87F5" w:rsidR="000A5D2B" w:rsidRPr="00122C8C" w:rsidRDefault="00786F1A" w:rsidP="00175197">
      <w:pPr>
        <w:spacing w:after="240" w:line="360" w:lineRule="auto"/>
      </w:pPr>
      <w:bookmarkStart w:id="1" w:name="_Hlk218861642"/>
      <w:r w:rsidRPr="00786F1A">
        <w:t xml:space="preserve">Vred. Torhout 15 mei 2025, </w:t>
      </w:r>
      <w:r w:rsidRPr="00786F1A">
        <w:rPr>
          <w:i/>
          <w:iCs/>
        </w:rPr>
        <w:t xml:space="preserve">T.Vred. </w:t>
      </w:r>
      <w:r w:rsidRPr="00786F1A">
        <w:t>2025/9-10, 613.</w:t>
      </w:r>
      <w:bookmarkEnd w:id="1"/>
    </w:p>
    <w:p w14:paraId="0F0FA57A" w14:textId="01B70940" w:rsidR="00505058" w:rsidRPr="00AD5715" w:rsidRDefault="00505058" w:rsidP="00505058">
      <w:pPr>
        <w:rPr>
          <w:i/>
          <w:iCs/>
          <w:lang w:val="nl-NL"/>
        </w:rPr>
      </w:pPr>
      <w:r w:rsidRPr="00AD5715">
        <w:rPr>
          <w:i/>
          <w:iCs/>
          <w:lang w:val="nl-NL"/>
        </w:rPr>
        <w:t>COMMENTAAR</w:t>
      </w:r>
    </w:p>
    <w:p w14:paraId="0ACFDFF0" w14:textId="77777777" w:rsidR="00297099" w:rsidRPr="00AD5715" w:rsidRDefault="00297099" w:rsidP="00505058">
      <w:pPr>
        <w:rPr>
          <w:lang w:val="nl-NL"/>
        </w:rPr>
      </w:pPr>
    </w:p>
    <w:p w14:paraId="31B093BC" w14:textId="7872F29A" w:rsidR="00756252" w:rsidRDefault="00505058" w:rsidP="00756252">
      <w:pPr>
        <w:rPr>
          <w:i/>
          <w:iCs/>
          <w:lang w:val="nl-NL"/>
        </w:rPr>
      </w:pPr>
      <w:r w:rsidRPr="00AD5715">
        <w:rPr>
          <w:i/>
          <w:iCs/>
          <w:lang w:val="nl-NL"/>
        </w:rPr>
        <w:t>Schema</w:t>
      </w:r>
    </w:p>
    <w:p w14:paraId="25657C90" w14:textId="77777777" w:rsidR="00C146D0" w:rsidRPr="000B62F6" w:rsidRDefault="00C146D0" w:rsidP="00C146D0">
      <w:pPr>
        <w:rPr>
          <w:lang w:val="nl-NL"/>
        </w:rPr>
      </w:pPr>
      <w:r w:rsidRPr="000B62F6">
        <w:rPr>
          <w:lang w:val="nl-NL"/>
        </w:rPr>
        <w:t xml:space="preserve">I. </w:t>
      </w:r>
      <w:r w:rsidRPr="000B62F6">
        <w:rPr>
          <w:lang w:val="nl-NL"/>
        </w:rPr>
        <w:tab/>
        <w:t>Inleiding</w:t>
      </w:r>
    </w:p>
    <w:p w14:paraId="416864B9" w14:textId="22BCA994" w:rsidR="00C146D0" w:rsidRDefault="00C146D0" w:rsidP="00C146D0">
      <w:pPr>
        <w:rPr>
          <w:lang w:val="nl-NL"/>
        </w:rPr>
      </w:pPr>
      <w:r w:rsidRPr="000B62F6">
        <w:rPr>
          <w:lang w:val="nl-NL"/>
        </w:rPr>
        <w:t>II.</w:t>
      </w:r>
      <w:r w:rsidRPr="000B62F6">
        <w:rPr>
          <w:lang w:val="nl-NL"/>
        </w:rPr>
        <w:tab/>
      </w:r>
      <w:r>
        <w:rPr>
          <w:lang w:val="nl-NL"/>
        </w:rPr>
        <w:t>Ouders-bewindvoerders</w:t>
      </w:r>
    </w:p>
    <w:p w14:paraId="3AC25D18" w14:textId="01F1FD1C" w:rsidR="00C146D0" w:rsidRPr="000B62F6" w:rsidRDefault="00C146D0" w:rsidP="00C146D0">
      <w:pPr>
        <w:rPr>
          <w:lang w:val="nl-NL"/>
        </w:rPr>
      </w:pPr>
      <w:r>
        <w:rPr>
          <w:lang w:val="nl-NL"/>
        </w:rPr>
        <w:t>III.</w:t>
      </w:r>
      <w:r>
        <w:rPr>
          <w:lang w:val="nl-NL"/>
        </w:rPr>
        <w:tab/>
        <w:t>Verslaggevingsverplichting</w:t>
      </w:r>
    </w:p>
    <w:p w14:paraId="5CECE0D3" w14:textId="20AB7679" w:rsidR="00C146D0" w:rsidRPr="000B62F6" w:rsidRDefault="00C146D0" w:rsidP="00C146D0">
      <w:pPr>
        <w:pStyle w:val="Lijstalinea"/>
        <w:numPr>
          <w:ilvl w:val="0"/>
          <w:numId w:val="28"/>
        </w:numPr>
        <w:rPr>
          <w:lang w:val="nl-NL"/>
        </w:rPr>
      </w:pPr>
      <w:r>
        <w:rPr>
          <w:lang w:val="nl-NL"/>
        </w:rPr>
        <w:t>Ouders-bewindvoerders met bijstandsopdracht</w:t>
      </w:r>
    </w:p>
    <w:p w14:paraId="0679F3C5" w14:textId="0372EDBB" w:rsidR="00C146D0" w:rsidRDefault="00C146D0" w:rsidP="00C146D0">
      <w:pPr>
        <w:pStyle w:val="Lijstalinea"/>
        <w:numPr>
          <w:ilvl w:val="0"/>
          <w:numId w:val="28"/>
        </w:numPr>
        <w:rPr>
          <w:lang w:val="nl-NL"/>
        </w:rPr>
      </w:pPr>
      <w:r>
        <w:rPr>
          <w:lang w:val="nl-NL"/>
        </w:rPr>
        <w:t>Ouders-bewindvoerders met vertegenwoordigingsopdracht</w:t>
      </w:r>
    </w:p>
    <w:p w14:paraId="42D4CE01" w14:textId="77777777" w:rsidR="00325440" w:rsidRDefault="00325440" w:rsidP="00C146D0">
      <w:pPr>
        <w:pStyle w:val="Lijstalinea"/>
        <w:numPr>
          <w:ilvl w:val="1"/>
          <w:numId w:val="28"/>
        </w:numPr>
        <w:rPr>
          <w:lang w:val="nl-NL"/>
        </w:rPr>
      </w:pPr>
      <w:r>
        <w:rPr>
          <w:lang w:val="nl-NL"/>
        </w:rPr>
        <w:t>Aanstellingsbeschikking</w:t>
      </w:r>
    </w:p>
    <w:p w14:paraId="6B16D362" w14:textId="6CD26906" w:rsidR="00C146D0" w:rsidRDefault="00325440" w:rsidP="00C146D0">
      <w:pPr>
        <w:pStyle w:val="Lijstalinea"/>
        <w:numPr>
          <w:ilvl w:val="1"/>
          <w:numId w:val="28"/>
        </w:numPr>
        <w:rPr>
          <w:lang w:val="nl-NL"/>
        </w:rPr>
      </w:pPr>
      <w:r>
        <w:rPr>
          <w:lang w:val="nl-NL"/>
        </w:rPr>
        <w:t>Aanvangsverslag en periodiek verslag</w:t>
      </w:r>
    </w:p>
    <w:p w14:paraId="17B2FCCF" w14:textId="6B846DBE" w:rsidR="00C146D0" w:rsidRDefault="00325440" w:rsidP="00C146D0">
      <w:pPr>
        <w:pStyle w:val="Lijstalinea"/>
        <w:numPr>
          <w:ilvl w:val="1"/>
          <w:numId w:val="28"/>
        </w:numPr>
        <w:rPr>
          <w:lang w:val="nl-NL"/>
        </w:rPr>
      </w:pPr>
      <w:r>
        <w:rPr>
          <w:lang w:val="nl-NL"/>
        </w:rPr>
        <w:t>Initiatief van ouders-bewindvoerders</w:t>
      </w:r>
    </w:p>
    <w:p w14:paraId="1DBB231D" w14:textId="43A62223" w:rsidR="00C146D0" w:rsidRDefault="00C146D0" w:rsidP="00C146D0">
      <w:pPr>
        <w:pStyle w:val="Lijstalinea"/>
        <w:numPr>
          <w:ilvl w:val="1"/>
          <w:numId w:val="28"/>
        </w:numPr>
        <w:rPr>
          <w:lang w:val="nl-NL"/>
        </w:rPr>
      </w:pPr>
      <w:r>
        <w:rPr>
          <w:lang w:val="nl-NL"/>
        </w:rPr>
        <w:t xml:space="preserve">Digitaal of </w:t>
      </w:r>
      <w:r w:rsidR="00325440">
        <w:rPr>
          <w:lang w:val="nl-NL"/>
        </w:rPr>
        <w:t>papier</w:t>
      </w:r>
    </w:p>
    <w:p w14:paraId="24F6CB75" w14:textId="244F6DF3" w:rsidR="00C146D0" w:rsidRPr="00C146D0" w:rsidRDefault="00C146D0" w:rsidP="00C146D0">
      <w:pPr>
        <w:pStyle w:val="Lijstalinea"/>
        <w:numPr>
          <w:ilvl w:val="1"/>
          <w:numId w:val="28"/>
        </w:numPr>
        <w:rPr>
          <w:lang w:val="nl-NL"/>
        </w:rPr>
      </w:pPr>
      <w:r>
        <w:rPr>
          <w:lang w:val="nl-NL"/>
        </w:rPr>
        <w:t>Controletaak vrederechter</w:t>
      </w:r>
    </w:p>
    <w:p w14:paraId="0F897C60" w14:textId="5E5BD122" w:rsidR="00C146D0" w:rsidRPr="000B62F6" w:rsidRDefault="00C146D0" w:rsidP="00C146D0">
      <w:pPr>
        <w:pStyle w:val="Lijstalinea"/>
        <w:numPr>
          <w:ilvl w:val="0"/>
          <w:numId w:val="28"/>
        </w:numPr>
        <w:rPr>
          <w:lang w:val="nl-NL"/>
        </w:rPr>
      </w:pPr>
      <w:r>
        <w:rPr>
          <w:lang w:val="nl-NL"/>
        </w:rPr>
        <w:t>Versoepeling vs. vrijstelling</w:t>
      </w:r>
    </w:p>
    <w:p w14:paraId="281E1454" w14:textId="3D382B82" w:rsidR="002E64FF" w:rsidRPr="00AD5715" w:rsidRDefault="00DA1AF7" w:rsidP="00297099">
      <w:pPr>
        <w:pStyle w:val="Kop1"/>
        <w:rPr>
          <w:lang w:val="nl-NL"/>
        </w:rPr>
      </w:pPr>
      <w:r w:rsidRPr="00AD5715">
        <w:rPr>
          <w:lang w:val="nl-NL"/>
        </w:rPr>
        <w:t>Inleiding</w:t>
      </w:r>
    </w:p>
    <w:p w14:paraId="6899183F" w14:textId="6427B370" w:rsidR="00D608C0" w:rsidRDefault="00122C8C" w:rsidP="006F7B6A">
      <w:pPr>
        <w:numPr>
          <w:ilvl w:val="0"/>
          <w:numId w:val="11"/>
        </w:numPr>
        <w:spacing w:before="200"/>
        <w:ind w:left="0" w:firstLine="0"/>
        <w:contextualSpacing/>
        <w:jc w:val="both"/>
        <w:rPr>
          <w:rFonts w:cstheme="minorHAnsi"/>
          <w:sz w:val="28"/>
          <w:szCs w:val="28"/>
          <w:lang w:val="nl-NL"/>
        </w:rPr>
      </w:pPr>
      <w:r w:rsidRPr="00404043">
        <w:rPr>
          <w:rFonts w:eastAsia="Verdana" w:cstheme="minorHAnsi"/>
          <w:lang w:val="nl-NL"/>
        </w:rPr>
        <w:t>De verslaggevingsverplichting van bewindvoerders vormt een essentieel controle-instrument binnen het systeem van rechterlijke bewindvoering</w:t>
      </w:r>
      <w:r w:rsidR="006F7B6A">
        <w:rPr>
          <w:rFonts w:eastAsia="Verdana" w:cstheme="minorHAnsi"/>
          <w:lang w:val="nl-NL"/>
        </w:rPr>
        <w:t xml:space="preserve"> (art. 494 ev. oud BW)</w:t>
      </w:r>
      <w:r w:rsidRPr="00404043">
        <w:rPr>
          <w:rFonts w:eastAsia="Verdana" w:cstheme="minorHAnsi"/>
          <w:lang w:val="nl-NL"/>
        </w:rPr>
        <w:t xml:space="preserve">. Verslaggeving draagt bij aan een verantwoord en controleerbaar bewindsbeheer, versterkt het vertrouwen in het beschermingsstatuut en beschermt tegelijk de belangen en autonomie van de beschermde persoon, met </w:t>
      </w:r>
      <w:r w:rsidR="00B306B7">
        <w:rPr>
          <w:rFonts w:eastAsia="Verdana" w:cstheme="minorHAnsi"/>
          <w:lang w:val="nl-NL"/>
        </w:rPr>
        <w:t xml:space="preserve">het </w:t>
      </w:r>
      <w:r w:rsidRPr="00404043">
        <w:rPr>
          <w:rFonts w:eastAsia="Verdana" w:cstheme="minorHAnsi"/>
          <w:lang w:val="nl-NL"/>
        </w:rPr>
        <w:t xml:space="preserve">oog op het voorkomen van </w:t>
      </w:r>
      <w:r w:rsidR="00B306B7">
        <w:rPr>
          <w:rFonts w:eastAsia="Verdana" w:cstheme="minorHAnsi"/>
          <w:lang w:val="nl-NL"/>
        </w:rPr>
        <w:t xml:space="preserve">misbruik en </w:t>
      </w:r>
      <w:r w:rsidRPr="00404043">
        <w:rPr>
          <w:rFonts w:eastAsia="Verdana" w:cstheme="minorHAnsi"/>
          <w:lang w:val="nl-NL"/>
        </w:rPr>
        <w:t>conflicten.</w:t>
      </w:r>
      <w:r w:rsidRPr="00404043">
        <w:rPr>
          <w:rStyle w:val="Voetnootmarkering"/>
          <w:rFonts w:eastAsia="Verdana" w:cstheme="minorHAnsi"/>
          <w:lang w:val="nl-NL"/>
        </w:rPr>
        <w:footnoteReference w:id="1"/>
      </w:r>
      <w:r w:rsidRPr="00404043">
        <w:rPr>
          <w:rFonts w:eastAsia="Verdana" w:cstheme="minorHAnsi"/>
          <w:lang w:val="nl-NL"/>
        </w:rPr>
        <w:t xml:space="preserve"> </w:t>
      </w:r>
      <w:r w:rsidR="006F7B6A">
        <w:rPr>
          <w:rFonts w:eastAsia="Verdana" w:cstheme="minorHAnsi"/>
          <w:lang w:val="nl-NL"/>
        </w:rPr>
        <w:t>Dit</w:t>
      </w:r>
      <w:r w:rsidRPr="00404043">
        <w:rPr>
          <w:rFonts w:eastAsia="Verdana" w:cstheme="minorHAnsi"/>
          <w:lang w:val="nl-NL"/>
        </w:rPr>
        <w:t xml:space="preserve"> verslag omvat </w:t>
      </w:r>
      <w:r w:rsidR="00D608C0">
        <w:rPr>
          <w:rFonts w:eastAsia="Verdana" w:cstheme="minorHAnsi"/>
          <w:lang w:val="nl-NL"/>
        </w:rPr>
        <w:t xml:space="preserve">in principe </w:t>
      </w:r>
      <w:r w:rsidRPr="00404043">
        <w:rPr>
          <w:rFonts w:eastAsia="Verdana" w:cstheme="minorHAnsi"/>
          <w:lang w:val="nl-NL"/>
        </w:rPr>
        <w:t>een vereenvoudigde boekhouding over de inkomsten van en de uitgaven voor de beschermde persoon.</w:t>
      </w:r>
      <w:r w:rsidRPr="00404043">
        <w:rPr>
          <w:rStyle w:val="Voetnootmarkering"/>
          <w:rFonts w:eastAsia="Verdana" w:cstheme="minorHAnsi"/>
          <w:lang w:val="nl-NL"/>
        </w:rPr>
        <w:footnoteReference w:id="2"/>
      </w:r>
      <w:r w:rsidR="006F7B6A">
        <w:rPr>
          <w:rFonts w:cstheme="minorHAnsi"/>
          <w:sz w:val="28"/>
          <w:szCs w:val="28"/>
          <w:lang w:val="nl-NL"/>
        </w:rPr>
        <w:t xml:space="preserve"> </w:t>
      </w:r>
    </w:p>
    <w:p w14:paraId="54EF1447" w14:textId="77777777" w:rsidR="00D608C0" w:rsidRDefault="00D608C0" w:rsidP="00A4489D">
      <w:pPr>
        <w:rPr>
          <w:lang w:val="nl-NL"/>
        </w:rPr>
      </w:pPr>
    </w:p>
    <w:p w14:paraId="44F38E61" w14:textId="5CC51CAC" w:rsidR="00D608C0" w:rsidRPr="00B306B7" w:rsidRDefault="000A5D2B" w:rsidP="00B306B7">
      <w:pPr>
        <w:numPr>
          <w:ilvl w:val="0"/>
          <w:numId w:val="11"/>
        </w:numPr>
        <w:spacing w:before="200"/>
        <w:ind w:left="0" w:firstLine="0"/>
        <w:contextualSpacing/>
        <w:jc w:val="both"/>
        <w:rPr>
          <w:rFonts w:cstheme="minorHAnsi"/>
          <w:sz w:val="28"/>
          <w:szCs w:val="28"/>
          <w:lang w:val="nl-NL"/>
        </w:rPr>
      </w:pPr>
      <w:r w:rsidRPr="006F7B6A">
        <w:rPr>
          <w:rFonts w:eastAsia="Verdana" w:cs="Verdana"/>
          <w:lang w:val="nl-NL"/>
        </w:rPr>
        <w:t xml:space="preserve">De </w:t>
      </w:r>
      <w:r w:rsidRPr="006F7B6A">
        <w:rPr>
          <w:rFonts w:eastAsia="Verdana"/>
          <w:lang w:val="nl-NL"/>
        </w:rPr>
        <w:t>wetgever legt in beginsel</w:t>
      </w:r>
      <w:r w:rsidR="00B306B7">
        <w:rPr>
          <w:rFonts w:eastAsia="Verdana"/>
          <w:lang w:val="nl-NL"/>
        </w:rPr>
        <w:t xml:space="preserve"> aan</w:t>
      </w:r>
      <w:r w:rsidRPr="006F7B6A">
        <w:rPr>
          <w:rFonts w:eastAsia="Verdana"/>
          <w:lang w:val="nl-NL"/>
        </w:rPr>
        <w:t xml:space="preserve"> </w:t>
      </w:r>
      <w:r w:rsidR="00B306B7">
        <w:rPr>
          <w:rFonts w:eastAsia="Verdana"/>
          <w:lang w:val="nl-NL"/>
        </w:rPr>
        <w:t>elke</w:t>
      </w:r>
      <w:r w:rsidRPr="006F7B6A">
        <w:rPr>
          <w:rFonts w:eastAsia="Verdana"/>
          <w:lang w:val="nl-NL"/>
        </w:rPr>
        <w:t xml:space="preserve"> familiale en professionele bewindvoerder</w:t>
      </w:r>
      <w:r w:rsidR="006F7B6A" w:rsidRPr="006F7B6A">
        <w:rPr>
          <w:rFonts w:eastAsia="Verdana"/>
          <w:lang w:val="nl-NL"/>
        </w:rPr>
        <w:t xml:space="preserve"> (zie art. 494 c)/1 en c)/2 oud BW)</w:t>
      </w:r>
      <w:r w:rsidRPr="006F7B6A">
        <w:rPr>
          <w:rFonts w:eastAsia="Verdana"/>
          <w:lang w:val="nl-NL"/>
        </w:rPr>
        <w:t xml:space="preserve"> de verplichting op om </w:t>
      </w:r>
      <w:r w:rsidR="00B306B7">
        <w:rPr>
          <w:rFonts w:eastAsia="Verdana"/>
          <w:lang w:val="nl-NL"/>
        </w:rPr>
        <w:t>één of meerdere verslagen</w:t>
      </w:r>
      <w:r w:rsidRPr="006F7B6A">
        <w:rPr>
          <w:rFonts w:eastAsia="Verdana"/>
          <w:lang w:val="nl-NL"/>
        </w:rPr>
        <w:t xml:space="preserve"> op te stellen over de </w:t>
      </w:r>
      <w:r w:rsidR="00B306B7">
        <w:rPr>
          <w:rFonts w:eastAsia="Verdana"/>
          <w:lang w:val="nl-NL"/>
        </w:rPr>
        <w:t>uitoefening van het mandaat, en deze over te maken aan de vrederechter, de beschermde persoon, de andere bewindvoerder(s) en de vertrouwenspersoon</w:t>
      </w:r>
      <w:r w:rsidR="00B306B7" w:rsidRPr="006F7B6A">
        <w:rPr>
          <w:rFonts w:eastAsia="Verdana"/>
          <w:lang w:val="nl-NL"/>
        </w:rPr>
        <w:t>.</w:t>
      </w:r>
      <w:r w:rsidR="00B306B7" w:rsidRPr="00EE0C1D">
        <w:rPr>
          <w:rFonts w:eastAsia="Verdana" w:cs="Verdana"/>
          <w:vertAlign w:val="superscript"/>
        </w:rPr>
        <w:footnoteReference w:id="3"/>
      </w:r>
      <w:r w:rsidR="00B306B7">
        <w:rPr>
          <w:rFonts w:eastAsia="Verdana"/>
          <w:lang w:val="nl-NL"/>
        </w:rPr>
        <w:t xml:space="preserve"> Indien de beschermde persoon niet langer in staat is het verslag te begrijpen, kan de vrederechter gemotiveerd beslissen om de verslaggeving aan de beschermde persoon te schrappen</w:t>
      </w:r>
      <w:r w:rsidRPr="00B306B7">
        <w:rPr>
          <w:rFonts w:eastAsia="Verdana" w:cs="Verdana"/>
          <w:lang w:val="nl-NL"/>
        </w:rPr>
        <w:t>.</w:t>
      </w:r>
      <w:r w:rsidRPr="00EE0C1D">
        <w:rPr>
          <w:rStyle w:val="Voetnootmarkering"/>
          <w:rFonts w:eastAsia="Verdana" w:cs="Verdana"/>
          <w:lang w:val="nl-NL"/>
        </w:rPr>
        <w:footnoteReference w:id="4"/>
      </w:r>
      <w:r w:rsidR="00C146D0" w:rsidRPr="00B306B7">
        <w:rPr>
          <w:rFonts w:eastAsia="Verdana" w:cs="Verdana"/>
          <w:lang w:val="nl-NL"/>
        </w:rPr>
        <w:t xml:space="preserve"> </w:t>
      </w:r>
    </w:p>
    <w:p w14:paraId="7147D269" w14:textId="77777777" w:rsidR="00D608C0" w:rsidRDefault="00D608C0" w:rsidP="00D608C0">
      <w:pPr>
        <w:spacing w:before="200"/>
        <w:contextualSpacing/>
        <w:jc w:val="both"/>
        <w:rPr>
          <w:rFonts w:eastAsia="Verdana" w:cs="Verdana"/>
          <w:lang w:val="nl-NL"/>
        </w:rPr>
      </w:pPr>
    </w:p>
    <w:p w14:paraId="7B31459C" w14:textId="41282527" w:rsidR="00404043" w:rsidRPr="006F7B6A" w:rsidRDefault="00C146D0" w:rsidP="00D608C0">
      <w:pPr>
        <w:spacing w:before="200"/>
        <w:contextualSpacing/>
        <w:jc w:val="both"/>
        <w:rPr>
          <w:rFonts w:cstheme="minorHAnsi"/>
          <w:sz w:val="28"/>
          <w:szCs w:val="28"/>
          <w:lang w:val="nl-NL"/>
        </w:rPr>
      </w:pPr>
      <w:r>
        <w:rPr>
          <w:rFonts w:eastAsia="Verdana" w:cs="Verdana"/>
          <w:lang w:val="nl-NL"/>
        </w:rPr>
        <w:t xml:space="preserve">In </w:t>
      </w:r>
      <w:r w:rsidRPr="00B306B7">
        <w:rPr>
          <w:rFonts w:eastAsia="Verdana" w:cs="Verdana"/>
          <w:lang w:val="nl-NL"/>
        </w:rPr>
        <w:t>afwijking van artikel 499/14 oud BW</w:t>
      </w:r>
      <w:r>
        <w:rPr>
          <w:rFonts w:eastAsia="Verdana" w:cs="Verdana"/>
          <w:lang w:val="nl-NL"/>
        </w:rPr>
        <w:t xml:space="preserve">, </w:t>
      </w:r>
      <w:r w:rsidR="00D608C0">
        <w:rPr>
          <w:rFonts w:eastAsia="Verdana" w:cs="Verdana"/>
          <w:lang w:val="nl-NL"/>
        </w:rPr>
        <w:t xml:space="preserve">dat de algemene verslaggevingsverplichting </w:t>
      </w:r>
      <w:r w:rsidR="00B306B7">
        <w:rPr>
          <w:rFonts w:eastAsia="Verdana" w:cs="Verdana"/>
          <w:lang w:val="nl-NL"/>
        </w:rPr>
        <w:t>vastlegt</w:t>
      </w:r>
      <w:r w:rsidR="00D608C0">
        <w:rPr>
          <w:rFonts w:eastAsia="Verdana" w:cs="Verdana"/>
          <w:lang w:val="nl-NL"/>
        </w:rPr>
        <w:t xml:space="preserve">, </w:t>
      </w:r>
      <w:r w:rsidR="00B306B7">
        <w:rPr>
          <w:rFonts w:eastAsia="Verdana" w:cs="Verdana"/>
          <w:lang w:val="nl-NL"/>
        </w:rPr>
        <w:t>beschikt de vrederechter op grond van artikel 500/2 oud BW over de mogelijkheid om aan ouders die als bewindvoerder optreden een vereenvoudigde verslaggevingsverplichting toe te staan. Deze afwijkende regeling wordt hierna nader besproken.</w:t>
      </w:r>
    </w:p>
    <w:p w14:paraId="414D46CC" w14:textId="43341E4B" w:rsidR="000A5D2B" w:rsidRPr="00404043" w:rsidRDefault="00404043" w:rsidP="00404043">
      <w:pPr>
        <w:pStyle w:val="Kop1"/>
        <w:rPr>
          <w:rFonts w:eastAsia="Verdana"/>
          <w:lang w:val="nl-NL"/>
        </w:rPr>
      </w:pPr>
      <w:r>
        <w:rPr>
          <w:rFonts w:eastAsia="Verdana"/>
          <w:lang w:val="nl-NL"/>
        </w:rPr>
        <w:t>Ouders-bewindvoerders</w:t>
      </w:r>
    </w:p>
    <w:p w14:paraId="3C5CA722" w14:textId="31E7B552" w:rsidR="00870E96" w:rsidRDefault="00B306B7" w:rsidP="004C5D52">
      <w:pPr>
        <w:numPr>
          <w:ilvl w:val="0"/>
          <w:numId w:val="11"/>
        </w:numPr>
        <w:ind w:left="0" w:firstLine="0"/>
        <w:contextualSpacing/>
        <w:jc w:val="both"/>
        <w:rPr>
          <w:rFonts w:eastAsia="Verdana" w:cs="Verdana"/>
          <w:lang w:val="nl-NL"/>
        </w:rPr>
      </w:pPr>
      <w:r>
        <w:rPr>
          <w:rFonts w:eastAsia="Verdana" w:cs="Verdana"/>
          <w:lang w:val="nl-NL"/>
        </w:rPr>
        <w:t xml:space="preserve">De mogelijkheid </w:t>
      </w:r>
      <w:r w:rsidR="00870E96">
        <w:rPr>
          <w:rFonts w:eastAsia="Verdana" w:cs="Verdana"/>
          <w:lang w:val="nl-NL"/>
        </w:rPr>
        <w:t>tot het gebruik van</w:t>
      </w:r>
      <w:r>
        <w:rPr>
          <w:rFonts w:eastAsia="Verdana" w:cs="Verdana"/>
          <w:lang w:val="nl-NL"/>
        </w:rPr>
        <w:t xml:space="preserve"> een vereenvoudigde verslaggevingsverplichting is beperkt tot ouders die als bewindvoerder optreden (zie art. 494 c)/1, (a) oud BW). </w:t>
      </w:r>
      <w:r w:rsidR="00870E96">
        <w:rPr>
          <w:rFonts w:eastAsia="Verdana" w:cs="Verdana"/>
          <w:lang w:val="nl-NL"/>
        </w:rPr>
        <w:t>Deze mogelijkheid bestaat dus niet voor andere familiale of professionele bewindvoerders (zie art. 494 e</w:t>
      </w:r>
      <w:r w:rsidR="00DC50B3">
        <w:rPr>
          <w:rFonts w:eastAsia="Verdana" w:cs="Verdana"/>
          <w:lang w:val="nl-NL"/>
        </w:rPr>
        <w:t>.</w:t>
      </w:r>
      <w:r w:rsidR="00870E96">
        <w:rPr>
          <w:rFonts w:eastAsia="Verdana" w:cs="Verdana"/>
          <w:lang w:val="nl-NL"/>
        </w:rPr>
        <w:t>v. oud BW).</w:t>
      </w:r>
    </w:p>
    <w:p w14:paraId="00974E7F" w14:textId="77777777" w:rsidR="00870E96" w:rsidRDefault="00870E96" w:rsidP="00870E96">
      <w:pPr>
        <w:contextualSpacing/>
        <w:jc w:val="both"/>
        <w:rPr>
          <w:rFonts w:eastAsia="Verdana" w:cs="Verdana"/>
          <w:lang w:val="nl-NL"/>
        </w:rPr>
      </w:pPr>
    </w:p>
    <w:p w14:paraId="4EAA11F0" w14:textId="219A5AFF" w:rsidR="004C5D52" w:rsidRDefault="00B306B7" w:rsidP="00870E96">
      <w:pPr>
        <w:contextualSpacing/>
        <w:jc w:val="both"/>
        <w:rPr>
          <w:rFonts w:eastAsia="Verdana" w:cs="Verdana"/>
          <w:lang w:val="nl-NL"/>
        </w:rPr>
      </w:pPr>
      <w:r>
        <w:rPr>
          <w:rFonts w:eastAsia="Verdana" w:cs="Verdana"/>
          <w:lang w:val="nl-NL"/>
        </w:rPr>
        <w:t xml:space="preserve">In dit verband </w:t>
      </w:r>
      <w:r w:rsidR="00870E96">
        <w:rPr>
          <w:rFonts w:eastAsia="Verdana" w:cs="Verdana"/>
          <w:lang w:val="nl-NL"/>
        </w:rPr>
        <w:t>opperde</w:t>
      </w:r>
      <w:r>
        <w:rPr>
          <w:rFonts w:eastAsia="Verdana" w:cs="Verdana"/>
          <w:lang w:val="nl-NL"/>
        </w:rPr>
        <w:t xml:space="preserve"> </w:t>
      </w:r>
      <w:r w:rsidRPr="00B306B7">
        <w:rPr>
          <w:rFonts w:eastAsia="Verdana" w:cs="Verdana"/>
          <w:lang w:val="nl-NL"/>
        </w:rPr>
        <w:t xml:space="preserve">de </w:t>
      </w:r>
      <w:r w:rsidRPr="00A4489D">
        <w:rPr>
          <w:rFonts w:eastAsia="Verdana" w:cs="Verdana"/>
          <w:lang w:val="nl-NL"/>
        </w:rPr>
        <w:t>vrederechter van het kanton Landen-Zoutleeuw (zetel Landen)</w:t>
      </w:r>
      <w:r w:rsidRPr="00B306B7">
        <w:rPr>
          <w:rFonts w:eastAsia="Verdana" w:cs="Verdana"/>
          <w:i/>
          <w:iCs/>
          <w:lang w:val="nl-NL"/>
        </w:rPr>
        <w:t xml:space="preserve"> </w:t>
      </w:r>
      <w:r w:rsidRPr="00B306B7">
        <w:rPr>
          <w:rFonts w:eastAsia="Verdana" w:cs="Verdana"/>
          <w:lang w:val="nl-NL"/>
        </w:rPr>
        <w:t xml:space="preserve">dat </w:t>
      </w:r>
      <w:r>
        <w:rPr>
          <w:rFonts w:eastAsia="Verdana" w:cs="Verdana"/>
          <w:lang w:val="nl-NL"/>
        </w:rPr>
        <w:t>het moeilijk te verantwoorden is waarom ouders die tijdens de minderjarigheid geen verslag moeten voorleggen over het beheer van de goederen van hun kind, na diens meerderjarigheid plots met een uitgebreide verslaggevingsplicht zouden worden belast</w:t>
      </w:r>
      <w:r w:rsidRPr="00B306B7">
        <w:rPr>
          <w:rFonts w:eastAsia="Verdana" w:cs="Verdana"/>
          <w:lang w:val="nl-NL"/>
        </w:rPr>
        <w:t>.</w:t>
      </w:r>
      <w:r w:rsidRPr="00EE0C1D">
        <w:rPr>
          <w:rStyle w:val="Voetnootmarkering"/>
          <w:rFonts w:eastAsia="Verdana" w:cs="Verdana"/>
          <w:lang w:val="nl-NL"/>
        </w:rPr>
        <w:footnoteReference w:id="5"/>
      </w:r>
      <w:r w:rsidRPr="00B306B7">
        <w:rPr>
          <w:rFonts w:eastAsia="Verdana" w:cs="Verdana"/>
          <w:lang w:val="nl-NL"/>
        </w:rPr>
        <w:t xml:space="preserve"> </w:t>
      </w:r>
    </w:p>
    <w:p w14:paraId="3F6ABB9B" w14:textId="77777777" w:rsidR="004C5D52" w:rsidRDefault="004C5D52" w:rsidP="004C5D52">
      <w:pPr>
        <w:contextualSpacing/>
        <w:jc w:val="both"/>
        <w:rPr>
          <w:rFonts w:eastAsia="Verdana" w:cs="Verdana"/>
          <w:lang w:val="nl-NL"/>
        </w:rPr>
      </w:pPr>
    </w:p>
    <w:p w14:paraId="773A7F93" w14:textId="609A757C" w:rsidR="00B306B7" w:rsidRPr="004C5D52" w:rsidRDefault="004C5D52" w:rsidP="004C5D52">
      <w:pPr>
        <w:contextualSpacing/>
        <w:jc w:val="both"/>
        <w:rPr>
          <w:rFonts w:eastAsia="Verdana" w:cs="Verdana"/>
          <w:lang w:val="nl-NL"/>
        </w:rPr>
      </w:pPr>
      <w:r w:rsidRPr="004C5D52">
        <w:rPr>
          <w:rFonts w:eastAsia="Verdana" w:cs="Verdana"/>
          <w:lang w:val="nl-NL"/>
        </w:rPr>
        <w:t>D</w:t>
      </w:r>
      <w:r w:rsidR="00870E96">
        <w:rPr>
          <w:rFonts w:eastAsia="Verdana" w:cs="Verdana"/>
          <w:lang w:val="nl-NL"/>
        </w:rPr>
        <w:t>i</w:t>
      </w:r>
      <w:r w:rsidRPr="004C5D52">
        <w:rPr>
          <w:rFonts w:eastAsia="Verdana" w:cs="Verdana"/>
          <w:lang w:val="nl-NL"/>
        </w:rPr>
        <w:t xml:space="preserve">ezelfde vrederechter stelt bovendien vast dat artikel 500/2 oud BW volgens zijn letterlijke bewoordingen enkel betrekking heeft op ouders-bewindvoerders van een onbekwaam kind, maar dat deze bepaling per analogie kan worden toegepast op </w:t>
      </w:r>
      <w:r w:rsidR="00D05E3A">
        <w:rPr>
          <w:rFonts w:eastAsia="Verdana" w:cs="Verdana"/>
          <w:lang w:val="nl-NL"/>
        </w:rPr>
        <w:t xml:space="preserve">(de) </w:t>
      </w:r>
      <w:r w:rsidRPr="004C5D52">
        <w:rPr>
          <w:rFonts w:eastAsia="Verdana" w:cs="Verdana"/>
          <w:lang w:val="nl-NL"/>
        </w:rPr>
        <w:t>pleegouder(s) die als bewindvoerder over het pleegkind werd</w:t>
      </w:r>
      <w:r w:rsidR="00D05E3A">
        <w:rPr>
          <w:rFonts w:eastAsia="Verdana" w:cs="Verdana"/>
          <w:lang w:val="nl-NL"/>
        </w:rPr>
        <w:t>(</w:t>
      </w:r>
      <w:r w:rsidRPr="004C5D52">
        <w:rPr>
          <w:rFonts w:eastAsia="Verdana" w:cs="Verdana"/>
          <w:lang w:val="nl-NL"/>
        </w:rPr>
        <w:t>en</w:t>
      </w:r>
      <w:r w:rsidR="00D05E3A">
        <w:rPr>
          <w:rFonts w:eastAsia="Verdana" w:cs="Verdana"/>
          <w:lang w:val="nl-NL"/>
        </w:rPr>
        <w:t>)</w:t>
      </w:r>
      <w:r w:rsidRPr="004C5D52">
        <w:rPr>
          <w:rFonts w:eastAsia="Verdana" w:cs="Verdana"/>
          <w:lang w:val="nl-NL"/>
        </w:rPr>
        <w:t xml:space="preserve"> aangesteld, wanneer uit de concrete omstandigheden blijkt dat de relatie tussen de pleegouder(s) en het pleegkind in wezen overeenstemt met een ouder-kindrelatie</w:t>
      </w:r>
      <w:r w:rsidR="00B306B7" w:rsidRPr="004C5D52">
        <w:rPr>
          <w:rFonts w:eastAsia="Verdana" w:cs="Verdana"/>
          <w:lang w:val="nl-NL"/>
        </w:rPr>
        <w:t>.</w:t>
      </w:r>
      <w:r w:rsidR="00B306B7" w:rsidRPr="00EE0C1D">
        <w:rPr>
          <w:rStyle w:val="Voetnootmarkering"/>
          <w:rFonts w:eastAsia="Verdana" w:cs="Verdana"/>
          <w:lang w:val="nl-NL"/>
        </w:rPr>
        <w:footnoteReference w:id="6"/>
      </w:r>
      <w:r>
        <w:rPr>
          <w:rFonts w:eastAsia="Verdana" w:cs="Verdana"/>
          <w:lang w:val="nl-NL"/>
        </w:rPr>
        <w:t xml:space="preserve"> Deze analoge toepassing berust evenwel op een casuïstische beoordeling van de vrederechter</w:t>
      </w:r>
      <w:r w:rsidR="00870E96">
        <w:rPr>
          <w:rFonts w:eastAsia="Verdana" w:cs="Verdana"/>
          <w:lang w:val="nl-NL"/>
        </w:rPr>
        <w:t>, maar mijns inziens kan deze interpretatie worden gevolgd en moet het begrip ‘ouder’ ruim begrepen worden</w:t>
      </w:r>
      <w:r>
        <w:rPr>
          <w:rFonts w:eastAsia="Verdana" w:cs="Verdana"/>
          <w:lang w:val="nl-NL"/>
        </w:rPr>
        <w:t>.</w:t>
      </w:r>
      <w:r w:rsidR="00314F31">
        <w:rPr>
          <w:rFonts w:eastAsia="Verdana" w:cs="Verdana"/>
          <w:lang w:val="nl-NL"/>
        </w:rPr>
        <w:t xml:space="preserve"> Het begrip ‘ouder’ dient daarbij niet louter biologisch of afstammingsrechtelijk te worden begrepen, maar evenmin zo ruim dat elke feitelijke verzorger eronder valt. Doorslaggevend is eerder of de betrokkene </w:t>
      </w:r>
      <w:r w:rsidR="00A4489D">
        <w:rPr>
          <w:rFonts w:eastAsia="Verdana" w:cs="Verdana"/>
          <w:lang w:val="nl-NL"/>
        </w:rPr>
        <w:t xml:space="preserve">ouderlijke rechten </w:t>
      </w:r>
      <w:r w:rsidR="00314F31">
        <w:rPr>
          <w:rFonts w:eastAsia="Verdana" w:cs="Verdana"/>
          <w:lang w:val="nl-NL"/>
        </w:rPr>
        <w:t>en een duurzame ouderlijke verantwoordelijkheid uitoefent.</w:t>
      </w:r>
      <w:r w:rsidR="00314F31">
        <w:rPr>
          <w:rStyle w:val="Voetnootmarkering"/>
          <w:rFonts w:eastAsia="Verdana" w:cs="Verdana"/>
          <w:lang w:val="nl-NL"/>
        </w:rPr>
        <w:footnoteReference w:id="7"/>
      </w:r>
    </w:p>
    <w:p w14:paraId="46823BAD" w14:textId="77777777" w:rsidR="00D608C0" w:rsidRDefault="00D608C0" w:rsidP="00D608C0">
      <w:pPr>
        <w:contextualSpacing/>
        <w:jc w:val="both"/>
        <w:rPr>
          <w:rFonts w:eastAsia="Verdana" w:cs="Verdana"/>
          <w:lang w:val="nl-NL"/>
        </w:rPr>
      </w:pPr>
    </w:p>
    <w:p w14:paraId="24B3A814" w14:textId="716A3198" w:rsidR="004C5D52" w:rsidRDefault="00870E96" w:rsidP="00404043">
      <w:pPr>
        <w:numPr>
          <w:ilvl w:val="0"/>
          <w:numId w:val="11"/>
        </w:numPr>
        <w:ind w:left="0" w:firstLine="0"/>
        <w:contextualSpacing/>
        <w:jc w:val="both"/>
        <w:rPr>
          <w:rFonts w:eastAsia="Verdana" w:cs="Verdana"/>
          <w:lang w:val="nl-NL"/>
        </w:rPr>
      </w:pPr>
      <w:r>
        <w:rPr>
          <w:rFonts w:eastAsia="Verdana" w:cs="Verdana"/>
          <w:lang w:val="nl-NL"/>
        </w:rPr>
        <w:t xml:space="preserve">Voor ouders-bewindvoerders bestond </w:t>
      </w:r>
      <w:r w:rsidR="009802DA">
        <w:rPr>
          <w:rFonts w:eastAsia="Verdana" w:cs="Verdana"/>
          <w:lang w:val="nl-NL"/>
        </w:rPr>
        <w:t>in het tijdperk van de</w:t>
      </w:r>
      <w:r w:rsidR="004C5D52">
        <w:rPr>
          <w:rFonts w:eastAsia="Verdana" w:cs="Verdana"/>
          <w:lang w:val="nl-NL"/>
        </w:rPr>
        <w:t xml:space="preserve"> verlengde minderjarigheid </w:t>
      </w:r>
      <w:r w:rsidR="006055DC">
        <w:rPr>
          <w:rFonts w:eastAsia="Verdana" w:cs="Verdana"/>
          <w:lang w:val="nl-NL"/>
        </w:rPr>
        <w:t xml:space="preserve">nog </w:t>
      </w:r>
      <w:r w:rsidR="000A5D2B" w:rsidRPr="00EE0C1D">
        <w:rPr>
          <w:rFonts w:eastAsia="Verdana" w:cs="Verdana"/>
          <w:lang w:val="nl-NL"/>
        </w:rPr>
        <w:t xml:space="preserve">geen verslaggevingsplicht. </w:t>
      </w:r>
      <w:r>
        <w:rPr>
          <w:rFonts w:eastAsia="Verdana" w:cs="Verdana"/>
          <w:lang w:val="nl-NL"/>
        </w:rPr>
        <w:t>Het bewind over het minderjarig kind</w:t>
      </w:r>
      <w:r w:rsidR="004C5D52">
        <w:rPr>
          <w:rFonts w:eastAsia="Verdana" w:cs="Verdana"/>
          <w:lang w:val="nl-NL"/>
        </w:rPr>
        <w:t xml:space="preserve"> werd </w:t>
      </w:r>
      <w:r>
        <w:rPr>
          <w:rFonts w:eastAsia="Verdana" w:cs="Verdana"/>
          <w:lang w:val="nl-NL"/>
        </w:rPr>
        <w:t xml:space="preserve">destijds </w:t>
      </w:r>
      <w:r w:rsidR="004C5D52">
        <w:rPr>
          <w:rFonts w:eastAsia="Verdana" w:cs="Verdana"/>
          <w:lang w:val="nl-NL"/>
        </w:rPr>
        <w:t>beschouwd als een verderzetting van het ouderlijk gezag, met inbegrip van het gezag over de persoon</w:t>
      </w:r>
      <w:r w:rsidR="000A5D2B" w:rsidRPr="004C5D52">
        <w:rPr>
          <w:rFonts w:eastAsia="Verdana" w:cs="Verdana"/>
          <w:lang w:val="nl-NL"/>
        </w:rPr>
        <w:t xml:space="preserve">, het beheer van de </w:t>
      </w:r>
      <w:r w:rsidR="000A5D2B" w:rsidRPr="004C5D52">
        <w:rPr>
          <w:rFonts w:eastAsia="Verdana" w:cs="Verdana"/>
          <w:lang w:val="nl-NL"/>
        </w:rPr>
        <w:lastRenderedPageBreak/>
        <w:t>goederen en de wettelijke vertegenwoordiging.</w:t>
      </w:r>
      <w:r w:rsidR="000A5D2B" w:rsidRPr="00EE0C1D">
        <w:rPr>
          <w:rStyle w:val="Voetnootmarkering"/>
          <w:rFonts w:eastAsia="Verdana" w:cs="Verdana"/>
          <w:lang w:val="nl-NL"/>
        </w:rPr>
        <w:footnoteReference w:id="8"/>
      </w:r>
      <w:r w:rsidR="000A5D2B" w:rsidRPr="004C5D52">
        <w:rPr>
          <w:rFonts w:eastAsia="Verdana" w:cs="Verdana"/>
          <w:lang w:val="nl-NL"/>
        </w:rPr>
        <w:t xml:space="preserve"> </w:t>
      </w:r>
      <w:r w:rsidR="004C5D52">
        <w:rPr>
          <w:rFonts w:eastAsia="Verdana" w:cs="Verdana"/>
          <w:lang w:val="nl-NL"/>
        </w:rPr>
        <w:t>Met de wet van 17 maart 2013 werd dit systeem verlaten en werd een algemene verslaggevingsverplichting ingevoerd voor elke bewindvoerder over de persoon en/of de goederen, ongeacht of het ging om een bijstands- dan wel een vertegenwoordigingsopdracht</w:t>
      </w:r>
      <w:r>
        <w:rPr>
          <w:rFonts w:eastAsia="Verdana" w:cs="Verdana"/>
          <w:lang w:val="nl-NL"/>
        </w:rPr>
        <w:t xml:space="preserve"> en ongeacht of dit ging over een familiale of professionele bewindvoerder</w:t>
      </w:r>
      <w:r w:rsidR="000A5D2B" w:rsidRPr="004C5D52">
        <w:rPr>
          <w:rFonts w:eastAsia="Verdana" w:cs="Verdana"/>
          <w:lang w:val="nl-NL"/>
        </w:rPr>
        <w:t>.</w:t>
      </w:r>
      <w:r w:rsidR="000A5D2B" w:rsidRPr="00EE0C1D">
        <w:rPr>
          <w:rStyle w:val="Voetnootmarkering"/>
          <w:rFonts w:eastAsia="Verdana" w:cs="Verdana"/>
          <w:lang w:val="nl-NL"/>
        </w:rPr>
        <w:footnoteReference w:id="9"/>
      </w:r>
      <w:r w:rsidR="004C5D52" w:rsidRPr="004C5D52">
        <w:rPr>
          <w:rFonts w:eastAsia="Verdana" w:cs="Verdana"/>
          <w:lang w:val="nl-NL"/>
        </w:rPr>
        <w:t xml:space="preserve"> </w:t>
      </w:r>
      <w:r w:rsidR="00184AFA">
        <w:rPr>
          <w:rFonts w:eastAsia="Verdana" w:cs="Verdana"/>
          <w:lang w:val="nl-NL"/>
        </w:rPr>
        <w:t>De wetgever voorzag in een overgangsregeling van vijf jaar voor de definitieve inkanteling van de toen afschafte beschermingsstatuten van het voorlopig bewind, de verlengde minderjarigheid, de gerechtelijke onbekwaamverklaring en de bijstand door een gerechtelijk raadsman (zie artikel 227</w:t>
      </w:r>
      <w:r w:rsidR="00184AFA">
        <w:rPr>
          <w:rFonts w:eastAsia="Verdana" w:cs="Verdana"/>
          <w:lang w:val="nl-NL"/>
        </w:rPr>
        <w:t>-</w:t>
      </w:r>
      <w:r w:rsidR="00184AFA">
        <w:rPr>
          <w:rFonts w:eastAsia="Verdana" w:cs="Verdana"/>
          <w:lang w:val="nl-NL"/>
        </w:rPr>
        <w:t>229 wet 17 maart 2013).</w:t>
      </w:r>
    </w:p>
    <w:p w14:paraId="04346016" w14:textId="77777777" w:rsidR="004C5D52" w:rsidRDefault="004C5D52" w:rsidP="004C5D52">
      <w:pPr>
        <w:contextualSpacing/>
        <w:jc w:val="both"/>
        <w:rPr>
          <w:rFonts w:eastAsia="Verdana" w:cs="Verdana"/>
          <w:lang w:val="nl-NL"/>
        </w:rPr>
      </w:pPr>
    </w:p>
    <w:p w14:paraId="4CA1CB0A" w14:textId="2495B46B" w:rsidR="000A5D2B" w:rsidRPr="004C5D52" w:rsidRDefault="002453C5" w:rsidP="004C5D52">
      <w:pPr>
        <w:contextualSpacing/>
        <w:jc w:val="both"/>
        <w:rPr>
          <w:rFonts w:eastAsia="Verdana" w:cs="Verdana"/>
          <w:lang w:val="nl-NL"/>
        </w:rPr>
      </w:pPr>
      <w:r>
        <w:rPr>
          <w:rFonts w:eastAsia="Verdana" w:cs="Verdana"/>
          <w:lang w:val="nl-NL"/>
        </w:rPr>
        <w:t>De</w:t>
      </w:r>
      <w:r w:rsidR="00870E96">
        <w:rPr>
          <w:rFonts w:eastAsia="Verdana" w:cs="Verdana"/>
          <w:lang w:val="nl-NL"/>
        </w:rPr>
        <w:t xml:space="preserve"> invoer</w:t>
      </w:r>
      <w:r>
        <w:rPr>
          <w:rFonts w:eastAsia="Verdana" w:cs="Verdana"/>
          <w:lang w:val="nl-NL"/>
        </w:rPr>
        <w:t>ing</w:t>
      </w:r>
      <w:r w:rsidR="00870E96">
        <w:rPr>
          <w:rFonts w:eastAsia="Verdana" w:cs="Verdana"/>
          <w:lang w:val="nl-NL"/>
        </w:rPr>
        <w:t xml:space="preserve"> van deze algemene verslaggevingsplicht is te kaderen binnen het belang en de autonomie van de beschermde persoon. </w:t>
      </w:r>
      <w:r w:rsidR="004C5D52">
        <w:rPr>
          <w:rFonts w:eastAsia="Verdana" w:cs="Verdana"/>
          <w:lang w:val="nl-NL"/>
        </w:rPr>
        <w:t>Aangezien de</w:t>
      </w:r>
      <w:r w:rsidR="00870E96">
        <w:rPr>
          <w:rFonts w:eastAsia="Verdana" w:cs="Verdana"/>
          <w:lang w:val="nl-NL"/>
        </w:rPr>
        <w:t>ze</w:t>
      </w:r>
      <w:r w:rsidR="004C5D52">
        <w:rPr>
          <w:rFonts w:eastAsia="Verdana" w:cs="Verdana"/>
          <w:lang w:val="nl-NL"/>
        </w:rPr>
        <w:t xml:space="preserve"> verslaggeving in beginsel ook gericht is tot de beschermde persoon</w:t>
      </w:r>
      <w:r w:rsidR="00870E96">
        <w:rPr>
          <w:rFonts w:eastAsia="Verdana" w:cs="Verdana"/>
          <w:lang w:val="nl-NL"/>
        </w:rPr>
        <w:t xml:space="preserve"> zelf</w:t>
      </w:r>
      <w:r w:rsidR="004C5D52">
        <w:rPr>
          <w:rFonts w:eastAsia="Verdana" w:cs="Verdana"/>
          <w:lang w:val="nl-NL"/>
        </w:rPr>
        <w:t xml:space="preserve">, beoogt </w:t>
      </w:r>
      <w:r w:rsidR="00B91B58">
        <w:rPr>
          <w:rFonts w:eastAsia="Verdana" w:cs="Verdana"/>
          <w:lang w:val="nl-NL"/>
        </w:rPr>
        <w:t xml:space="preserve">ze </w:t>
      </w:r>
      <w:r w:rsidR="004C5D52">
        <w:rPr>
          <w:rFonts w:eastAsia="Verdana" w:cs="Verdana"/>
          <w:lang w:val="nl-NL"/>
        </w:rPr>
        <w:t>diens</w:t>
      </w:r>
      <w:r w:rsidR="000A5D2B" w:rsidRPr="004C5D52">
        <w:rPr>
          <w:rFonts w:eastAsia="Verdana" w:cs="Verdana"/>
          <w:lang w:val="nl-NL"/>
        </w:rPr>
        <w:t xml:space="preserve"> belangenbehartiging en autonomie </w:t>
      </w:r>
      <w:r w:rsidR="004C5D52">
        <w:rPr>
          <w:rFonts w:eastAsia="Verdana" w:cs="Verdana"/>
          <w:lang w:val="nl-NL"/>
        </w:rPr>
        <w:t>te waarborgen</w:t>
      </w:r>
      <w:r w:rsidR="00870E96">
        <w:rPr>
          <w:rFonts w:eastAsia="Verdana" w:cs="Verdana"/>
          <w:lang w:val="nl-NL"/>
        </w:rPr>
        <w:t xml:space="preserve"> door zelf informatie te ontvangen</w:t>
      </w:r>
      <w:r w:rsidR="000A5D2B" w:rsidRPr="004C5D52">
        <w:rPr>
          <w:rFonts w:eastAsia="Verdana" w:cs="Verdana"/>
          <w:lang w:val="nl-NL"/>
        </w:rPr>
        <w:t>.</w:t>
      </w:r>
      <w:r w:rsidR="000A5D2B" w:rsidRPr="00EE0C1D">
        <w:rPr>
          <w:rStyle w:val="Voetnootmarkering"/>
          <w:rFonts w:eastAsia="Verdana" w:cs="Verdana"/>
          <w:lang w:val="nl-NL"/>
        </w:rPr>
        <w:footnoteReference w:id="10"/>
      </w:r>
      <w:r w:rsidR="000A5D2B" w:rsidRPr="004C5D52">
        <w:rPr>
          <w:rFonts w:eastAsia="Verdana" w:cs="Verdana"/>
          <w:lang w:val="nl-NL"/>
        </w:rPr>
        <w:t xml:space="preserve"> De </w:t>
      </w:r>
      <w:r w:rsidR="000A5D2B" w:rsidRPr="004C5D52">
        <w:rPr>
          <w:rFonts w:eastAsia="Verdana" w:cs="Verdana"/>
          <w:i/>
          <w:iCs/>
          <w:lang w:val="nl-NL"/>
        </w:rPr>
        <w:t>ratio legis</w:t>
      </w:r>
      <w:r w:rsidR="000A5D2B" w:rsidRPr="004C5D52">
        <w:rPr>
          <w:rFonts w:eastAsia="Verdana" w:cs="Verdana"/>
          <w:lang w:val="nl-NL"/>
        </w:rPr>
        <w:t xml:space="preserve"> van deze </w:t>
      </w:r>
      <w:r w:rsidR="00870E96">
        <w:rPr>
          <w:rFonts w:eastAsia="Verdana" w:cs="Verdana"/>
          <w:lang w:val="nl-NL"/>
        </w:rPr>
        <w:t>algemene verslaggevingsverplichting</w:t>
      </w:r>
      <w:r w:rsidR="004C5D52">
        <w:rPr>
          <w:rFonts w:eastAsia="Verdana" w:cs="Verdana"/>
          <w:lang w:val="nl-NL"/>
        </w:rPr>
        <w:t xml:space="preserve"> bestaat in het verzekeren van</w:t>
      </w:r>
      <w:r w:rsidR="000A5D2B" w:rsidRPr="004C5D52">
        <w:rPr>
          <w:rFonts w:eastAsia="Verdana" w:cs="Verdana"/>
          <w:lang w:val="nl-NL"/>
        </w:rPr>
        <w:t xml:space="preserve"> een transparant beheer, een vlotte communicatie en bijgevolg een vermindering van conflictsituaties.</w:t>
      </w:r>
      <w:r w:rsidR="000A5D2B" w:rsidRPr="00EE0C1D">
        <w:rPr>
          <w:rStyle w:val="Voetnootmarkering"/>
          <w:rFonts w:eastAsia="Verdana" w:cs="Verdana"/>
          <w:lang w:val="nl-NL"/>
        </w:rPr>
        <w:footnoteReference w:id="11"/>
      </w:r>
      <w:r w:rsidR="000A5D2B" w:rsidRPr="004C5D52">
        <w:rPr>
          <w:rFonts w:eastAsia="Verdana" w:cs="Verdana"/>
          <w:lang w:val="nl-NL"/>
        </w:rPr>
        <w:t xml:space="preserve"> Het verslag omvat een vereenvoudigde boekhouding </w:t>
      </w:r>
      <w:r w:rsidR="004C5D52">
        <w:rPr>
          <w:rFonts w:eastAsia="Verdana" w:cs="Verdana"/>
          <w:lang w:val="nl-NL"/>
        </w:rPr>
        <w:t>van</w:t>
      </w:r>
      <w:r w:rsidR="000A5D2B" w:rsidRPr="004C5D52">
        <w:rPr>
          <w:rFonts w:eastAsia="Verdana" w:cs="Verdana"/>
          <w:lang w:val="nl-NL"/>
        </w:rPr>
        <w:t xml:space="preserve"> de inkomsten en de uitgaven </w:t>
      </w:r>
      <w:r w:rsidR="004C5D52">
        <w:rPr>
          <w:rFonts w:eastAsia="Verdana" w:cs="Verdana"/>
          <w:lang w:val="nl-NL"/>
        </w:rPr>
        <w:t>van</w:t>
      </w:r>
      <w:r w:rsidR="000A5D2B" w:rsidRPr="004C5D52">
        <w:rPr>
          <w:rFonts w:eastAsia="Verdana" w:cs="Verdana"/>
          <w:lang w:val="nl-NL"/>
        </w:rPr>
        <w:t xml:space="preserve"> de beschermde persoon.</w:t>
      </w:r>
      <w:r w:rsidR="000A5D2B" w:rsidRPr="00EE0C1D">
        <w:rPr>
          <w:rStyle w:val="Voetnootmarkering"/>
          <w:rFonts w:eastAsia="Verdana" w:cs="Verdana"/>
          <w:lang w:val="nl-NL"/>
        </w:rPr>
        <w:footnoteReference w:id="12"/>
      </w:r>
      <w:r w:rsidR="000A5D2B" w:rsidRPr="004C5D52">
        <w:rPr>
          <w:rFonts w:eastAsia="Verdana" w:cs="Verdana"/>
          <w:lang w:val="nl-NL"/>
        </w:rPr>
        <w:t xml:space="preserve"> Bij </w:t>
      </w:r>
      <w:r w:rsidR="004C5D52">
        <w:rPr>
          <w:rFonts w:eastAsia="Verdana" w:cs="Verdana"/>
          <w:lang w:val="nl-NL"/>
        </w:rPr>
        <w:t>koninklijk besluit werden daartoe modellen van schriftelijke verslagen vastgesteld</w:t>
      </w:r>
      <w:r w:rsidR="000A5D2B" w:rsidRPr="004C5D52">
        <w:rPr>
          <w:rFonts w:eastAsia="Verdana" w:cs="Verdana"/>
          <w:lang w:val="nl-NL"/>
        </w:rPr>
        <w:t>.</w:t>
      </w:r>
      <w:r w:rsidR="000A5D2B" w:rsidRPr="00EE0C1D">
        <w:rPr>
          <w:rStyle w:val="Voetnootmarkering"/>
          <w:rFonts w:eastAsia="Verdana" w:cs="Verdana"/>
          <w:lang w:val="nl-NL"/>
        </w:rPr>
        <w:footnoteReference w:id="13"/>
      </w:r>
    </w:p>
    <w:p w14:paraId="75F70AAF" w14:textId="77777777" w:rsidR="000A5D2B" w:rsidRPr="00B01B75" w:rsidRDefault="000A5D2B" w:rsidP="000A5D2B">
      <w:pPr>
        <w:rPr>
          <w:rFonts w:eastAsia="Verdana" w:cs="Verdana"/>
          <w:lang w:val="nl-NL"/>
        </w:rPr>
      </w:pPr>
    </w:p>
    <w:p w14:paraId="78798483" w14:textId="45BD3C3D" w:rsidR="006F7B6A" w:rsidRDefault="004C5D52" w:rsidP="006F7B6A">
      <w:pPr>
        <w:numPr>
          <w:ilvl w:val="0"/>
          <w:numId w:val="11"/>
        </w:numPr>
        <w:ind w:left="0" w:firstLine="0"/>
        <w:contextualSpacing/>
        <w:jc w:val="both"/>
        <w:rPr>
          <w:rFonts w:eastAsia="Verdana" w:cs="Verdana"/>
          <w:lang w:val="nl-NL"/>
        </w:rPr>
      </w:pPr>
      <w:r>
        <w:rPr>
          <w:rFonts w:eastAsia="Verdana" w:cs="Verdana"/>
          <w:lang w:val="nl-NL"/>
        </w:rPr>
        <w:t>Bijgevolg rust sinds 1 september 2014</w:t>
      </w:r>
      <w:r w:rsidR="00870E96">
        <w:rPr>
          <w:rFonts w:eastAsia="Verdana" w:cs="Verdana"/>
          <w:lang w:val="nl-NL"/>
        </w:rPr>
        <w:t xml:space="preserve"> (inwerkingtreding wet 17 maart 2013)</w:t>
      </w:r>
      <w:r>
        <w:rPr>
          <w:rFonts w:eastAsia="Verdana" w:cs="Verdana"/>
          <w:lang w:val="nl-NL"/>
        </w:rPr>
        <w:t xml:space="preserve"> </w:t>
      </w:r>
      <w:r w:rsidR="00076213">
        <w:rPr>
          <w:rFonts w:eastAsia="Verdana" w:cs="Verdana"/>
          <w:lang w:val="nl-NL"/>
        </w:rPr>
        <w:t xml:space="preserve">in beginsel </w:t>
      </w:r>
      <w:r>
        <w:rPr>
          <w:rFonts w:eastAsia="Verdana" w:cs="Verdana"/>
          <w:lang w:val="nl-NL"/>
        </w:rPr>
        <w:t>ook</w:t>
      </w:r>
      <w:r w:rsidR="000A5D2B" w:rsidRPr="00EE0C1D">
        <w:rPr>
          <w:rFonts w:eastAsia="Verdana" w:cs="Verdana"/>
          <w:lang w:val="nl-NL"/>
        </w:rPr>
        <w:t xml:space="preserve"> </w:t>
      </w:r>
      <w:r w:rsidR="000A5D2B">
        <w:rPr>
          <w:rFonts w:eastAsia="Verdana" w:cs="Verdana"/>
          <w:lang w:val="nl-NL"/>
        </w:rPr>
        <w:t xml:space="preserve">op </w:t>
      </w:r>
      <w:r w:rsidR="000A5D2B" w:rsidRPr="00EE0C1D">
        <w:rPr>
          <w:rFonts w:eastAsia="Verdana" w:cs="Verdana"/>
          <w:lang w:val="nl-NL"/>
        </w:rPr>
        <w:t xml:space="preserve">ouders-bewindvoerders de verplichting een </w:t>
      </w:r>
      <w:r w:rsidR="000A5D2B" w:rsidRPr="00076213">
        <w:rPr>
          <w:rFonts w:eastAsia="Verdana" w:cs="Verdana"/>
          <w:i/>
          <w:iCs/>
          <w:lang w:val="nl-NL"/>
        </w:rPr>
        <w:t>aanvangsverslag</w:t>
      </w:r>
      <w:r w:rsidR="000A5D2B" w:rsidRPr="00EE0C1D">
        <w:rPr>
          <w:rFonts w:eastAsia="Verdana" w:cs="Verdana"/>
          <w:lang w:val="nl-NL"/>
        </w:rPr>
        <w:t xml:space="preserve"> op te stellen over zowel de leefsituatie als over de vermogenstoestand van hun kind waar</w:t>
      </w:r>
      <w:r w:rsidR="000A5D2B">
        <w:rPr>
          <w:rFonts w:eastAsia="Verdana" w:cs="Verdana"/>
          <w:lang w:val="nl-NL"/>
        </w:rPr>
        <w:t>voor</w:t>
      </w:r>
      <w:r w:rsidR="000A5D2B" w:rsidRPr="00EE0C1D">
        <w:rPr>
          <w:rFonts w:eastAsia="Verdana" w:cs="Verdana"/>
          <w:lang w:val="nl-NL"/>
        </w:rPr>
        <w:t xml:space="preserve"> zij </w:t>
      </w:r>
      <w:r w:rsidR="000A5D2B">
        <w:rPr>
          <w:rFonts w:eastAsia="Verdana" w:cs="Verdana"/>
          <w:lang w:val="nl-NL"/>
        </w:rPr>
        <w:t xml:space="preserve">als </w:t>
      </w:r>
      <w:r w:rsidR="000A5D2B" w:rsidRPr="00EE0C1D">
        <w:rPr>
          <w:rFonts w:eastAsia="Verdana" w:cs="Verdana"/>
          <w:lang w:val="nl-NL"/>
        </w:rPr>
        <w:t xml:space="preserve">bewindvoerder </w:t>
      </w:r>
      <w:r w:rsidR="000A5D2B">
        <w:rPr>
          <w:rFonts w:eastAsia="Verdana" w:cs="Verdana"/>
          <w:lang w:val="nl-NL"/>
        </w:rPr>
        <w:t>optreden</w:t>
      </w:r>
      <w:r w:rsidR="006F7B6A">
        <w:rPr>
          <w:rFonts w:eastAsia="Verdana" w:cs="Verdana"/>
          <w:lang w:val="nl-NL"/>
        </w:rPr>
        <w:t xml:space="preserve"> (zie art. 499/6 </w:t>
      </w:r>
      <w:r w:rsidR="006F7B6A">
        <w:rPr>
          <w:rFonts w:eastAsia="Verdana" w:cs="Verdana"/>
          <w:i/>
          <w:iCs/>
          <w:lang w:val="nl-NL"/>
        </w:rPr>
        <w:t xml:space="preserve">juncto </w:t>
      </w:r>
      <w:r w:rsidR="006F7B6A">
        <w:rPr>
          <w:rFonts w:eastAsia="Verdana" w:cs="Verdana"/>
          <w:lang w:val="nl-NL"/>
        </w:rPr>
        <w:t>art. 500 oud BW)</w:t>
      </w:r>
      <w:r w:rsidR="000A5D2B" w:rsidRPr="00EE0C1D">
        <w:rPr>
          <w:rFonts w:eastAsia="Verdana" w:cs="Verdana"/>
          <w:lang w:val="nl-NL"/>
        </w:rPr>
        <w:t>.</w:t>
      </w:r>
      <w:r w:rsidR="000A5D2B" w:rsidRPr="00EE0C1D">
        <w:rPr>
          <w:rStyle w:val="Voetnootmarkering"/>
          <w:rFonts w:eastAsia="Verdana" w:cs="Verdana"/>
          <w:lang w:val="nl-NL"/>
        </w:rPr>
        <w:footnoteReference w:id="14"/>
      </w:r>
      <w:r w:rsidR="00076213">
        <w:rPr>
          <w:rFonts w:eastAsia="Verdana" w:cs="Verdana"/>
          <w:lang w:val="nl-NL"/>
        </w:rPr>
        <w:t xml:space="preserve"> Voor rechterlijke beschermingsmaatregelen uitgesproken vanaf deze datum geldt deze verslagverplichting zonder meer. De situatie ligt evenwel minder duidelijk voor de personen die voor 1 september 2019 verlengd minderjarig zijn verklaard en die krachtens de wet automatisch in het nieuwe bewind zijn ingekanteld.</w:t>
      </w:r>
      <w:r w:rsidR="00076213" w:rsidRPr="00EE0C1D">
        <w:rPr>
          <w:rStyle w:val="Voetnootmarkering"/>
          <w:rFonts w:eastAsia="Verdana" w:cs="Verdana"/>
          <w:lang w:val="nl-NL"/>
        </w:rPr>
        <w:footnoteReference w:id="15"/>
      </w:r>
      <w:r w:rsidR="00076213">
        <w:rPr>
          <w:rFonts w:eastAsia="Verdana" w:cs="Verdana"/>
          <w:lang w:val="nl-NL"/>
        </w:rPr>
        <w:t xml:space="preserve"> De overgangswetgeving voorzag immers niet uitdrukkelijk in de modaliteiten van de verslaggeving voor deze categorie, terwijl het nieuwe bewind aanzienlijk verregaandere verslagverplichtingen oplegt dan in het vroegere statuut van de beschermde meerderjarigheid (</w:t>
      </w:r>
      <w:r w:rsidR="00076213">
        <w:rPr>
          <w:rFonts w:eastAsia="Verdana" w:cs="Verdana"/>
          <w:i/>
          <w:iCs/>
          <w:lang w:val="nl-NL"/>
        </w:rPr>
        <w:t xml:space="preserve">infra, </w:t>
      </w:r>
      <w:r w:rsidR="00076213">
        <w:rPr>
          <w:rFonts w:eastAsia="Verdana" w:cs="Verdana"/>
          <w:lang w:val="nl-NL"/>
        </w:rPr>
        <w:t>nr. 12).</w:t>
      </w:r>
    </w:p>
    <w:p w14:paraId="61EEE966" w14:textId="257CDDDA" w:rsidR="004C5D52" w:rsidRDefault="004C5D52" w:rsidP="004C5D52">
      <w:pPr>
        <w:contextualSpacing/>
        <w:jc w:val="both"/>
        <w:rPr>
          <w:rFonts w:eastAsia="Verdana" w:cs="Verdana"/>
          <w:lang w:val="nl-NL"/>
        </w:rPr>
      </w:pPr>
    </w:p>
    <w:p w14:paraId="16627E2C" w14:textId="7EF32174" w:rsidR="000A5D2B" w:rsidRPr="004C5D52" w:rsidRDefault="004C5D52" w:rsidP="006F7B6A">
      <w:pPr>
        <w:contextualSpacing/>
        <w:jc w:val="both"/>
        <w:rPr>
          <w:lang w:val="nl-NL"/>
        </w:rPr>
      </w:pPr>
      <w:r>
        <w:rPr>
          <w:rFonts w:eastAsia="Verdana" w:cs="Verdana"/>
          <w:lang w:val="nl-NL"/>
        </w:rPr>
        <w:lastRenderedPageBreak/>
        <w:t xml:space="preserve">Wat het </w:t>
      </w:r>
      <w:r w:rsidRPr="00870E96">
        <w:rPr>
          <w:rFonts w:eastAsia="Verdana" w:cs="Verdana"/>
          <w:i/>
          <w:iCs/>
          <w:lang w:val="nl-NL"/>
        </w:rPr>
        <w:t>periodiek verslag</w:t>
      </w:r>
      <w:r>
        <w:rPr>
          <w:rFonts w:eastAsia="Verdana" w:cs="Verdana"/>
          <w:lang w:val="nl-NL"/>
        </w:rPr>
        <w:t xml:space="preserve"> betreft, beschikt de vrederechter op grond van artikel 500/2 oud BW over de bevoegdheid om de verdere modaliteiten voor ouders-bewindvoerders vast te stellen, met name het tijdstip waarop, de omstandigheden waarin en de wijze waarop het verslag moet worden uitgebracht (zie </w:t>
      </w:r>
      <w:r>
        <w:rPr>
          <w:rFonts w:eastAsia="Verdana" w:cs="Verdana"/>
          <w:i/>
          <w:iCs/>
          <w:lang w:val="nl-NL"/>
        </w:rPr>
        <w:t>infra</w:t>
      </w:r>
      <w:r>
        <w:rPr>
          <w:rFonts w:eastAsia="Verdana" w:cs="Verdana"/>
          <w:lang w:val="nl-NL"/>
        </w:rPr>
        <w:t>)</w:t>
      </w:r>
      <w:r w:rsidR="000A5D2B" w:rsidRPr="006F7B6A">
        <w:rPr>
          <w:rFonts w:eastAsia="Verdana" w:cs="Verdana"/>
          <w:lang w:val="nl-NL"/>
        </w:rPr>
        <w:t>.</w:t>
      </w:r>
      <w:r w:rsidR="000A5D2B" w:rsidRPr="00EE0C1D">
        <w:rPr>
          <w:rStyle w:val="Voetnootmarkering"/>
          <w:rFonts w:eastAsia="Verdana" w:cs="Verdana"/>
          <w:lang w:val="nl-NL"/>
        </w:rPr>
        <w:footnoteReference w:id="16"/>
      </w:r>
      <w:r w:rsidR="000A5D2B" w:rsidRPr="006F7B6A">
        <w:rPr>
          <w:rFonts w:eastAsia="Verdana" w:cs="Verdana"/>
          <w:lang w:val="nl-NL"/>
        </w:rPr>
        <w:t xml:space="preserve"> </w:t>
      </w:r>
      <w:r>
        <w:rPr>
          <w:lang w:val="nl-NL"/>
        </w:rPr>
        <w:t xml:space="preserve">De wetgever </w:t>
      </w:r>
      <w:r w:rsidR="00870E96">
        <w:rPr>
          <w:lang w:val="nl-NL"/>
        </w:rPr>
        <w:t>beoogde</w:t>
      </w:r>
      <w:r>
        <w:rPr>
          <w:lang w:val="nl-NL"/>
        </w:rPr>
        <w:t xml:space="preserve"> hierbij uitdrukkelijk om </w:t>
      </w:r>
      <w:r w:rsidR="00870E96">
        <w:rPr>
          <w:lang w:val="nl-NL"/>
        </w:rPr>
        <w:t xml:space="preserve">aan </w:t>
      </w:r>
      <w:r>
        <w:rPr>
          <w:lang w:val="nl-NL"/>
        </w:rPr>
        <w:t>ouders-bewindvoerders geen overdreven formaliteiten op te leggen</w:t>
      </w:r>
      <w:r w:rsidR="000A5D2B" w:rsidRPr="006F7B6A">
        <w:rPr>
          <w:rFonts w:eastAsia="Verdana" w:cs="Verdana"/>
          <w:lang w:val="nl-NL"/>
        </w:rPr>
        <w:t>.</w:t>
      </w:r>
      <w:r w:rsidR="000A5D2B" w:rsidRPr="00EE0C1D">
        <w:rPr>
          <w:rStyle w:val="Voetnootmarkering"/>
          <w:rFonts w:eastAsia="Verdana" w:cs="Verdana"/>
          <w:lang w:val="nl-NL"/>
        </w:rPr>
        <w:footnoteReference w:id="17"/>
      </w:r>
    </w:p>
    <w:p w14:paraId="4F69F03B" w14:textId="2C926783" w:rsidR="00C76A24" w:rsidRDefault="00C76A24" w:rsidP="00C76A24">
      <w:pPr>
        <w:pStyle w:val="Kop1"/>
        <w:rPr>
          <w:lang w:val="nl-NL"/>
        </w:rPr>
      </w:pPr>
      <w:r>
        <w:rPr>
          <w:lang w:val="nl-NL"/>
        </w:rPr>
        <w:t>Verslaggeving</w:t>
      </w:r>
      <w:r w:rsidR="000A5D2B">
        <w:rPr>
          <w:lang w:val="nl-NL"/>
        </w:rPr>
        <w:t>sverplichting</w:t>
      </w:r>
    </w:p>
    <w:p w14:paraId="3E04FCC9" w14:textId="485A13F0" w:rsidR="000A5D2B" w:rsidRDefault="000A5D2B" w:rsidP="000A5D2B">
      <w:pPr>
        <w:pStyle w:val="Kop2"/>
        <w:rPr>
          <w:lang w:val="nl-NL"/>
        </w:rPr>
      </w:pPr>
      <w:r>
        <w:rPr>
          <w:lang w:val="nl-NL"/>
        </w:rPr>
        <w:t>Ouders-bewindvoerders met bijstandsopdracht</w:t>
      </w:r>
    </w:p>
    <w:p w14:paraId="57676638" w14:textId="68D124E9" w:rsidR="004C5D52" w:rsidRPr="00870E96" w:rsidRDefault="004C5D52" w:rsidP="004C5D52">
      <w:pPr>
        <w:numPr>
          <w:ilvl w:val="0"/>
          <w:numId w:val="11"/>
        </w:numPr>
        <w:ind w:left="0" w:firstLine="0"/>
        <w:contextualSpacing/>
        <w:jc w:val="both"/>
        <w:rPr>
          <w:rFonts w:eastAsia="Verdana" w:cs="Verdana"/>
          <w:lang w:val="nl-NL"/>
        </w:rPr>
      </w:pPr>
      <w:r>
        <w:rPr>
          <w:rFonts w:eastAsia="Verdana" w:cs="Verdana"/>
          <w:lang w:val="nl-NL"/>
        </w:rPr>
        <w:t>Wanneer</w:t>
      </w:r>
      <w:r w:rsidR="000A5D2B" w:rsidRPr="00EE0C1D">
        <w:rPr>
          <w:rFonts w:eastAsia="Verdana" w:cs="Verdana"/>
          <w:lang w:val="nl-NL"/>
        </w:rPr>
        <w:t xml:space="preserve"> de ouders, of een van beide ouders, als bewindvoerder met een bijstandsopdracht</w:t>
      </w:r>
      <w:r w:rsidRPr="004C5D52">
        <w:rPr>
          <w:rFonts w:eastAsia="Verdana" w:cs="Verdana"/>
          <w:lang w:val="nl-NL"/>
        </w:rPr>
        <w:t xml:space="preserve"> </w:t>
      </w:r>
      <w:r>
        <w:rPr>
          <w:rFonts w:eastAsia="Verdana" w:cs="Verdana"/>
          <w:lang w:val="nl-NL"/>
        </w:rPr>
        <w:t>worden</w:t>
      </w:r>
      <w:r w:rsidRPr="00EE0C1D">
        <w:rPr>
          <w:rFonts w:eastAsia="Verdana" w:cs="Verdana"/>
          <w:lang w:val="nl-NL"/>
        </w:rPr>
        <w:t xml:space="preserve"> aangesteld</w:t>
      </w:r>
      <w:r w:rsidR="000A5D2B">
        <w:rPr>
          <w:rFonts w:eastAsia="Verdana" w:cs="Verdana"/>
          <w:lang w:val="nl-NL"/>
        </w:rPr>
        <w:t>,</w:t>
      </w:r>
      <w:r w:rsidR="000A5D2B" w:rsidRPr="00EE0C1D">
        <w:rPr>
          <w:rFonts w:eastAsia="Verdana" w:cs="Verdana"/>
          <w:lang w:val="nl-NL"/>
        </w:rPr>
        <w:t xml:space="preserve"> </w:t>
      </w:r>
      <w:r>
        <w:rPr>
          <w:rFonts w:eastAsia="Verdana" w:cs="Verdana"/>
          <w:lang w:val="nl-NL"/>
        </w:rPr>
        <w:t xml:space="preserve">is </w:t>
      </w:r>
      <w:r w:rsidR="000A5D2B" w:rsidRPr="00EE0C1D">
        <w:rPr>
          <w:rFonts w:eastAsia="Verdana" w:cs="Verdana"/>
          <w:lang w:val="nl-NL"/>
        </w:rPr>
        <w:t xml:space="preserve">de normale </w:t>
      </w:r>
      <w:r>
        <w:rPr>
          <w:rFonts w:eastAsia="Verdana" w:cs="Verdana"/>
          <w:lang w:val="nl-NL"/>
        </w:rPr>
        <w:t xml:space="preserve">verslaggevingsregeling uit </w:t>
      </w:r>
      <w:r w:rsidR="0011014A">
        <w:rPr>
          <w:rFonts w:eastAsia="Verdana" w:cs="Verdana"/>
          <w:lang w:val="nl-NL"/>
        </w:rPr>
        <w:t xml:space="preserve">de </w:t>
      </w:r>
      <w:r>
        <w:rPr>
          <w:rFonts w:eastAsia="Verdana" w:cs="Verdana"/>
          <w:lang w:val="nl-NL"/>
        </w:rPr>
        <w:t>artikel</w:t>
      </w:r>
      <w:r w:rsidR="0011014A">
        <w:rPr>
          <w:rFonts w:eastAsia="Verdana" w:cs="Verdana"/>
          <w:lang w:val="nl-NL"/>
        </w:rPr>
        <w:t>en</w:t>
      </w:r>
      <w:r>
        <w:rPr>
          <w:rFonts w:eastAsia="Verdana" w:cs="Verdana"/>
          <w:lang w:val="nl-NL"/>
        </w:rPr>
        <w:t xml:space="preserve"> 498/3 en 498/4 oud BW van toepassing.</w:t>
      </w:r>
      <w:r w:rsidR="000A5D2B" w:rsidRPr="00EE0C1D">
        <w:rPr>
          <w:rFonts w:eastAsia="Verdana" w:cs="Verdana"/>
          <w:lang w:val="nl-NL"/>
        </w:rPr>
        <w:t xml:space="preserve"> </w:t>
      </w:r>
      <w:r>
        <w:rPr>
          <w:rFonts w:eastAsia="Verdana" w:cs="Verdana"/>
          <w:lang w:val="nl-NL"/>
        </w:rPr>
        <w:t xml:space="preserve">De wet voorziet </w:t>
      </w:r>
      <w:r w:rsidR="0011014A">
        <w:rPr>
          <w:rFonts w:eastAsia="Verdana" w:cs="Verdana"/>
          <w:lang w:val="nl-NL"/>
        </w:rPr>
        <w:t xml:space="preserve">niet in </w:t>
      </w:r>
      <w:r>
        <w:rPr>
          <w:rFonts w:eastAsia="Verdana" w:cs="Verdana"/>
          <w:lang w:val="nl-NL"/>
        </w:rPr>
        <w:t>specifieke afwijkingen voor ouders-bewindvoerders met een bijstandsopdracht.</w:t>
      </w:r>
      <w:r w:rsidRPr="00EE0C1D">
        <w:rPr>
          <w:rStyle w:val="Voetnootmarkering"/>
          <w:rFonts w:eastAsia="Verdana" w:cs="Verdana"/>
          <w:lang w:val="nl-NL"/>
        </w:rPr>
        <w:footnoteReference w:id="18"/>
      </w:r>
      <w:r>
        <w:rPr>
          <w:rFonts w:eastAsia="Verdana" w:cs="Verdana"/>
          <w:lang w:val="nl-NL"/>
        </w:rPr>
        <w:t xml:space="preserve"> Dit sluit aan bij het uitgangspunt dat bewindvoering met bijstand een beperkte en ondersteunende rol vervult, waarbij de beschermde persoon zijn handelingsbekwaamheid behoudt en de tussenkomst van de bewindvoerder in beginsel occasioneel is.</w:t>
      </w:r>
      <w:r>
        <w:rPr>
          <w:rStyle w:val="Voetnootmarkering"/>
          <w:rFonts w:eastAsia="Verdana" w:cs="Verdana"/>
          <w:lang w:val="nl-NL"/>
        </w:rPr>
        <w:footnoteReference w:id="19"/>
      </w:r>
      <w:r>
        <w:rPr>
          <w:rFonts w:eastAsia="Verdana" w:cs="Verdana"/>
          <w:lang w:val="nl-NL"/>
        </w:rPr>
        <w:t xml:space="preserve"> Deze beperkte inmenging weerspiegelt zich ook in een minder verregaande verslaggevingsplicht.</w:t>
      </w:r>
    </w:p>
    <w:p w14:paraId="1083F261" w14:textId="77777777" w:rsidR="000A5D2B" w:rsidRPr="00EE0C1D" w:rsidRDefault="000A5D2B" w:rsidP="000A5D2B">
      <w:pPr>
        <w:contextualSpacing/>
        <w:jc w:val="both"/>
        <w:rPr>
          <w:rFonts w:eastAsia="Verdana" w:cs="Verdana"/>
          <w:lang w:val="nl-NL"/>
        </w:rPr>
      </w:pPr>
    </w:p>
    <w:p w14:paraId="1F0BE51D" w14:textId="22FBD77B" w:rsidR="004C5D52" w:rsidRDefault="004C5D52" w:rsidP="004C5D52">
      <w:pPr>
        <w:numPr>
          <w:ilvl w:val="0"/>
          <w:numId w:val="11"/>
        </w:numPr>
        <w:ind w:left="0" w:firstLine="0"/>
        <w:contextualSpacing/>
        <w:jc w:val="both"/>
        <w:rPr>
          <w:rFonts w:eastAsia="Verdana" w:cs="Verdana"/>
          <w:lang w:val="nl-NL"/>
        </w:rPr>
      </w:pPr>
      <w:bookmarkStart w:id="2" w:name="_Hlk222988631"/>
      <w:r>
        <w:rPr>
          <w:rFonts w:eastAsia="Verdana" w:cs="Verdana"/>
          <w:lang w:val="nl-NL"/>
        </w:rPr>
        <w:t xml:space="preserve">Wat de bewindvoering met bijstandsopdracht </w:t>
      </w:r>
      <w:r w:rsidRPr="00870E96">
        <w:rPr>
          <w:rFonts w:eastAsia="Verdana" w:cs="Verdana"/>
          <w:i/>
          <w:iCs/>
          <w:lang w:val="nl-NL"/>
        </w:rPr>
        <w:t>over de persoon</w:t>
      </w:r>
      <w:r>
        <w:rPr>
          <w:rFonts w:eastAsia="Verdana" w:cs="Verdana"/>
          <w:lang w:val="nl-NL"/>
        </w:rPr>
        <w:t xml:space="preserve"> betreft, bepaalt artikel 498/3, § 1 oud BW dat de vrederechter zelf</w:t>
      </w:r>
      <w:r w:rsidR="000A5D2B" w:rsidRPr="00EE0C1D">
        <w:rPr>
          <w:rFonts w:eastAsia="Verdana" w:cs="Verdana"/>
          <w:lang w:val="nl-NL"/>
        </w:rPr>
        <w:t xml:space="preserve"> het tijdstip </w:t>
      </w:r>
      <w:r>
        <w:rPr>
          <w:rFonts w:eastAsia="Verdana" w:cs="Verdana"/>
          <w:lang w:val="nl-NL"/>
        </w:rPr>
        <w:t>waarop</w:t>
      </w:r>
      <w:r w:rsidR="000A5D2B" w:rsidRPr="00EE0C1D">
        <w:rPr>
          <w:rFonts w:eastAsia="Verdana" w:cs="Verdana"/>
          <w:lang w:val="nl-NL"/>
        </w:rPr>
        <w:t xml:space="preserve">, de omstandigheden waarin en de wijze waarop </w:t>
      </w:r>
      <w:r>
        <w:rPr>
          <w:rFonts w:eastAsia="Verdana" w:cs="Verdana"/>
          <w:lang w:val="nl-NL"/>
        </w:rPr>
        <w:t>verslag moet worden uitgebracht, vaststelt</w:t>
      </w:r>
      <w:r w:rsidR="000A5D2B" w:rsidRPr="00EE0C1D">
        <w:rPr>
          <w:rFonts w:eastAsia="Verdana" w:cs="Verdana"/>
          <w:lang w:val="nl-NL"/>
        </w:rPr>
        <w:t xml:space="preserve">. </w:t>
      </w:r>
      <w:r>
        <w:rPr>
          <w:rFonts w:eastAsia="Verdana" w:cs="Verdana"/>
          <w:lang w:val="nl-NL"/>
        </w:rPr>
        <w:t xml:space="preserve">In principe is in dit geval geen aanvangsverslag vereist. De vrederechter kan evenwel gemotiveerd beslissen om alsnog een aanvangsverslag </w:t>
      </w:r>
      <w:r w:rsidR="00870E96">
        <w:rPr>
          <w:rFonts w:eastAsia="Verdana" w:cs="Verdana"/>
          <w:lang w:val="nl-NL"/>
        </w:rPr>
        <w:t>en/</w:t>
      </w:r>
      <w:r>
        <w:rPr>
          <w:rFonts w:eastAsia="Verdana" w:cs="Verdana"/>
          <w:lang w:val="nl-NL"/>
        </w:rPr>
        <w:t>of</w:t>
      </w:r>
      <w:r w:rsidR="00870E96">
        <w:rPr>
          <w:rFonts w:eastAsia="Verdana" w:cs="Verdana"/>
          <w:lang w:val="nl-NL"/>
        </w:rPr>
        <w:t xml:space="preserve"> een</w:t>
      </w:r>
      <w:r>
        <w:rPr>
          <w:rFonts w:eastAsia="Verdana" w:cs="Verdana"/>
          <w:lang w:val="nl-NL"/>
        </w:rPr>
        <w:t xml:space="preserve"> periodieke verslaggeving op te leggen.</w:t>
      </w:r>
      <w:r w:rsidR="000A5D2B" w:rsidRPr="004C5D52">
        <w:rPr>
          <w:rFonts w:eastAsia="Verdana" w:cs="Verdana"/>
          <w:lang w:val="nl-NL"/>
        </w:rPr>
        <w:t xml:space="preserve"> </w:t>
      </w:r>
      <w:r w:rsidR="00870E96">
        <w:rPr>
          <w:rFonts w:eastAsia="Verdana" w:cs="Verdana"/>
          <w:lang w:val="nl-NL"/>
        </w:rPr>
        <w:t>In beginsel blijven o</w:t>
      </w:r>
      <w:r>
        <w:rPr>
          <w:rFonts w:eastAsia="Verdana" w:cs="Verdana"/>
          <w:lang w:val="nl-NL"/>
        </w:rPr>
        <w:t>uders-bewindvoerders met een bijstandsopdracht over de persoon niet gehouden tot neerlegg</w:t>
      </w:r>
      <w:r w:rsidR="00F23047">
        <w:rPr>
          <w:rFonts w:eastAsia="Verdana" w:cs="Verdana"/>
          <w:lang w:val="nl-NL"/>
        </w:rPr>
        <w:t>ing</w:t>
      </w:r>
      <w:r>
        <w:rPr>
          <w:rFonts w:eastAsia="Verdana" w:cs="Verdana"/>
          <w:lang w:val="nl-NL"/>
        </w:rPr>
        <w:t xml:space="preserve"> van een aanvangsverslag noch van een jaarlijks verslag, tenzij de vrederechter anders bepaalt.</w:t>
      </w:r>
    </w:p>
    <w:p w14:paraId="5BC49CE8" w14:textId="20C45FC7" w:rsidR="004C5D52" w:rsidRDefault="004C5D52" w:rsidP="004C5D52">
      <w:pPr>
        <w:contextualSpacing/>
        <w:jc w:val="both"/>
        <w:rPr>
          <w:rFonts w:eastAsia="Verdana" w:cs="Verdana"/>
          <w:lang w:val="nl-NL"/>
        </w:rPr>
      </w:pPr>
    </w:p>
    <w:p w14:paraId="167F1A55" w14:textId="674A50E6" w:rsidR="000A5D2B" w:rsidRDefault="004C5D52" w:rsidP="000A5D2B">
      <w:pPr>
        <w:contextualSpacing/>
        <w:jc w:val="both"/>
        <w:rPr>
          <w:rFonts w:eastAsia="Verdana" w:cs="Verdana"/>
          <w:lang w:val="nl-NL"/>
        </w:rPr>
      </w:pPr>
      <w:r>
        <w:rPr>
          <w:rFonts w:eastAsia="Verdana" w:cs="Verdana"/>
          <w:lang w:val="nl-NL"/>
        </w:rPr>
        <w:t xml:space="preserve">Bij een bijstandsopdracht </w:t>
      </w:r>
      <w:r w:rsidRPr="00870E96">
        <w:rPr>
          <w:rFonts w:eastAsia="Verdana" w:cs="Verdana"/>
          <w:i/>
          <w:iCs/>
          <w:lang w:val="nl-NL"/>
        </w:rPr>
        <w:t>over de goederen</w:t>
      </w:r>
      <w:r>
        <w:rPr>
          <w:rFonts w:eastAsia="Verdana" w:cs="Verdana"/>
          <w:lang w:val="nl-NL"/>
        </w:rPr>
        <w:t xml:space="preserve"> geldt daarentegen wel een verplichting tot het neerleggen van een jaarlijks verslag</w:t>
      </w:r>
      <w:r w:rsidR="000A5D2B" w:rsidRPr="00EE0C1D">
        <w:rPr>
          <w:rFonts w:eastAsia="Verdana" w:cs="Verdana"/>
          <w:lang w:val="nl-NL"/>
        </w:rPr>
        <w:t xml:space="preserve">. </w:t>
      </w:r>
      <w:r w:rsidR="000A5D2B">
        <w:rPr>
          <w:rFonts w:eastAsia="Verdana" w:cs="Verdana"/>
          <w:lang w:val="nl-NL"/>
        </w:rPr>
        <w:t xml:space="preserve">Maar ook in dit geval </w:t>
      </w:r>
      <w:r>
        <w:rPr>
          <w:rFonts w:eastAsia="Verdana" w:cs="Verdana"/>
          <w:lang w:val="nl-NL"/>
        </w:rPr>
        <w:t>is er in beginsel geen verplichting tot het opstellen van een aanvangsverslag</w:t>
      </w:r>
      <w:r w:rsidR="00325440">
        <w:rPr>
          <w:rFonts w:eastAsia="Verdana" w:cs="Verdana"/>
          <w:lang w:val="nl-NL"/>
        </w:rPr>
        <w:t xml:space="preserve"> (art. 498/3, § 2 oud BW)</w:t>
      </w:r>
      <w:r>
        <w:rPr>
          <w:rFonts w:eastAsia="Verdana" w:cs="Verdana"/>
          <w:lang w:val="nl-NL"/>
        </w:rPr>
        <w:t>.</w:t>
      </w:r>
    </w:p>
    <w:p w14:paraId="2521DDDC" w14:textId="77777777" w:rsidR="000A5D2B" w:rsidRDefault="000A5D2B" w:rsidP="000A5D2B">
      <w:pPr>
        <w:contextualSpacing/>
        <w:jc w:val="both"/>
        <w:rPr>
          <w:rFonts w:eastAsia="Verdana" w:cs="Verdana"/>
          <w:lang w:val="nl-NL"/>
        </w:rPr>
      </w:pPr>
    </w:p>
    <w:p w14:paraId="42BBA811" w14:textId="194EF298" w:rsidR="000A5D2B" w:rsidRDefault="004C5D52" w:rsidP="00404043">
      <w:pPr>
        <w:contextualSpacing/>
        <w:jc w:val="both"/>
        <w:rPr>
          <w:rFonts w:eastAsia="Verdana" w:cs="Verdana"/>
          <w:lang w:val="nl-NL"/>
        </w:rPr>
      </w:pPr>
      <w:r>
        <w:rPr>
          <w:rFonts w:eastAsia="Verdana" w:cs="Verdana"/>
          <w:lang w:val="nl-NL"/>
        </w:rPr>
        <w:t xml:space="preserve">Wanneer de bijstandsopdracht zowel betrekking heeft op de </w:t>
      </w:r>
      <w:r w:rsidRPr="00870E96">
        <w:rPr>
          <w:rFonts w:eastAsia="Verdana" w:cs="Verdana"/>
          <w:i/>
          <w:iCs/>
          <w:lang w:val="nl-NL"/>
        </w:rPr>
        <w:t>persoon als op de goederen</w:t>
      </w:r>
      <w:r>
        <w:rPr>
          <w:rFonts w:eastAsia="Verdana" w:cs="Verdana"/>
          <w:lang w:val="nl-NL"/>
        </w:rPr>
        <w:t xml:space="preserve">, wordt jaarlijks één </w:t>
      </w:r>
      <w:r w:rsidR="00870E96">
        <w:rPr>
          <w:rFonts w:eastAsia="Verdana" w:cs="Verdana"/>
          <w:lang w:val="nl-NL"/>
        </w:rPr>
        <w:t xml:space="preserve">periodiek </w:t>
      </w:r>
      <w:r>
        <w:rPr>
          <w:rFonts w:eastAsia="Verdana" w:cs="Verdana"/>
          <w:lang w:val="nl-NL"/>
        </w:rPr>
        <w:t>verslag opgesteld</w:t>
      </w:r>
      <w:r w:rsidR="00325440">
        <w:rPr>
          <w:rFonts w:eastAsia="Verdana" w:cs="Verdana"/>
          <w:lang w:val="nl-NL"/>
        </w:rPr>
        <w:t xml:space="preserve"> (art. 498/3, § 2/1 oud BW)</w:t>
      </w:r>
      <w:r w:rsidR="000A5D2B" w:rsidRPr="00EE0C1D">
        <w:rPr>
          <w:rFonts w:eastAsia="Verdana" w:cs="Verdana"/>
          <w:lang w:val="nl-NL"/>
        </w:rPr>
        <w:t>.</w:t>
      </w:r>
      <w:r w:rsidR="000A5D2B" w:rsidRPr="00EE0C1D">
        <w:rPr>
          <w:rStyle w:val="Voetnootmarkering"/>
          <w:rFonts w:eastAsia="Verdana" w:cs="Verdana"/>
          <w:lang w:val="nl-NL"/>
        </w:rPr>
        <w:footnoteReference w:id="20"/>
      </w:r>
      <w:r w:rsidR="000A5D2B" w:rsidRPr="00EE0C1D">
        <w:rPr>
          <w:rFonts w:eastAsia="Verdana" w:cs="Verdana"/>
          <w:lang w:val="nl-NL"/>
        </w:rPr>
        <w:t xml:space="preserve"> De vrederechter zal steeds nagaan of dit verslag voldoet aan de voorwaarden bedoeld in artikel 497/8 oud BW </w:t>
      </w:r>
      <w:r>
        <w:rPr>
          <w:rFonts w:eastAsia="Verdana" w:cs="Verdana"/>
          <w:lang w:val="nl-NL"/>
        </w:rPr>
        <w:t>en beslist vervolgens over de goedkeuring ervan.</w:t>
      </w:r>
    </w:p>
    <w:bookmarkEnd w:id="2"/>
    <w:p w14:paraId="7C9FD57F" w14:textId="1ACE636C" w:rsidR="004C5D52" w:rsidRDefault="004C5D52" w:rsidP="00404043">
      <w:pPr>
        <w:contextualSpacing/>
        <w:jc w:val="both"/>
        <w:rPr>
          <w:rFonts w:eastAsia="Verdana" w:cs="Verdana"/>
          <w:lang w:val="nl-NL"/>
        </w:rPr>
      </w:pPr>
    </w:p>
    <w:p w14:paraId="7AC8EA7E" w14:textId="32863C1D" w:rsidR="004C5D52" w:rsidRPr="00404043" w:rsidRDefault="004C5D52" w:rsidP="00404043">
      <w:pPr>
        <w:contextualSpacing/>
        <w:jc w:val="both"/>
        <w:rPr>
          <w:rFonts w:eastAsia="Verdana" w:cs="Verdana"/>
          <w:lang w:val="nl-NL"/>
        </w:rPr>
      </w:pPr>
      <w:r>
        <w:rPr>
          <w:rFonts w:eastAsia="Verdana" w:cs="Verdana"/>
          <w:lang w:val="nl-NL"/>
        </w:rPr>
        <w:t>Artikel 500/2 oud BW is enkel relevant voor ouders-bewindvoerders met een vertegenwoordigingsopdracht, aangezien enkel daar sprake is van een verregaande en structurele verslaggevingsverplichting.</w:t>
      </w:r>
      <w:r w:rsidR="00870E96">
        <w:rPr>
          <w:rFonts w:eastAsia="Verdana" w:cs="Verdana"/>
          <w:lang w:val="nl-NL"/>
        </w:rPr>
        <w:t xml:space="preserve"> Om deze reden kan voor de verslaggeving van ouders-bewindvoerders met een bijstandsopdracht verder worden verwezen naar de commentaar bij art</w:t>
      </w:r>
      <w:r w:rsidR="00292B6F">
        <w:rPr>
          <w:rFonts w:eastAsia="Verdana" w:cs="Verdana"/>
          <w:lang w:val="nl-NL"/>
        </w:rPr>
        <w:t>ikel</w:t>
      </w:r>
      <w:r w:rsidR="00870E96">
        <w:rPr>
          <w:rFonts w:eastAsia="Verdana" w:cs="Verdana"/>
          <w:lang w:val="nl-NL"/>
        </w:rPr>
        <w:t xml:space="preserve"> 498/3 oud BW.</w:t>
      </w:r>
    </w:p>
    <w:p w14:paraId="18F3199A" w14:textId="35C54CE9" w:rsidR="000A5D2B" w:rsidRDefault="000A5D2B" w:rsidP="000A5D2B">
      <w:pPr>
        <w:pStyle w:val="Kop2"/>
        <w:rPr>
          <w:lang w:val="nl-NL"/>
        </w:rPr>
      </w:pPr>
      <w:r>
        <w:rPr>
          <w:lang w:val="nl-NL"/>
        </w:rPr>
        <w:lastRenderedPageBreak/>
        <w:t>Ouders-bewindvoerders met vertegenwoordigingsopdracht</w:t>
      </w:r>
    </w:p>
    <w:p w14:paraId="3BC8E5CD" w14:textId="7248A2E0" w:rsidR="00DB3C70" w:rsidRDefault="00DB3C70" w:rsidP="00DB3C70">
      <w:pPr>
        <w:numPr>
          <w:ilvl w:val="0"/>
          <w:numId w:val="11"/>
        </w:numPr>
        <w:ind w:left="0" w:firstLine="0"/>
        <w:contextualSpacing/>
        <w:jc w:val="both"/>
        <w:rPr>
          <w:rFonts w:eastAsia="Verdana" w:cs="Verdana"/>
          <w:lang w:val="nl-NL"/>
        </w:rPr>
      </w:pPr>
      <w:r>
        <w:rPr>
          <w:rFonts w:eastAsia="Verdana" w:cs="Verdana"/>
          <w:lang w:val="nl-NL"/>
        </w:rPr>
        <w:t>Voor ouders-bewindvoerders met een vertegenwoordigingsopdracht heeft de wetgever een specifieke regeling uitgewerkt die toelaat af te wijken van de gemeenrechtelijke verslaggevingsverplichtingen (o.a. art. 499/14 oud BW)</w:t>
      </w:r>
      <w:r w:rsidR="000A5D2B" w:rsidRPr="00DB3C70">
        <w:rPr>
          <w:rFonts w:eastAsia="Verdana" w:cs="Verdana"/>
          <w:lang w:val="nl-NL"/>
        </w:rPr>
        <w:t>.</w:t>
      </w:r>
      <w:r w:rsidR="000A5D2B" w:rsidRPr="006F7B6A">
        <w:rPr>
          <w:rStyle w:val="Voetnootmarkering"/>
          <w:rFonts w:eastAsia="Verdana" w:cs="Verdana"/>
          <w:lang w:val="nl-NL"/>
        </w:rPr>
        <w:footnoteReference w:id="21"/>
      </w:r>
      <w:r w:rsidR="000A5D2B" w:rsidRPr="00DB3C70">
        <w:rPr>
          <w:rFonts w:eastAsia="Verdana" w:cs="Verdana"/>
          <w:lang w:val="nl-NL"/>
        </w:rPr>
        <w:t xml:space="preserve"> </w:t>
      </w:r>
    </w:p>
    <w:p w14:paraId="679D620F" w14:textId="1BC7CEDD" w:rsidR="00DB3C70" w:rsidRDefault="00DB3C70" w:rsidP="00DB3C70">
      <w:pPr>
        <w:contextualSpacing/>
        <w:jc w:val="both"/>
        <w:rPr>
          <w:rFonts w:eastAsia="Verdana" w:cs="Verdana"/>
          <w:lang w:val="nl-NL"/>
        </w:rPr>
      </w:pPr>
    </w:p>
    <w:p w14:paraId="583F8F10" w14:textId="1CAFCED0" w:rsidR="00DB3C70" w:rsidRDefault="00DB3C70" w:rsidP="00DB3C70">
      <w:pPr>
        <w:contextualSpacing/>
        <w:jc w:val="both"/>
        <w:rPr>
          <w:rFonts w:eastAsia="Verdana" w:cs="Verdana"/>
          <w:lang w:val="nl-NL"/>
        </w:rPr>
      </w:pPr>
      <w:r>
        <w:rPr>
          <w:rFonts w:eastAsia="Verdana" w:cs="Verdana"/>
          <w:lang w:val="nl-NL"/>
        </w:rPr>
        <w:t xml:space="preserve">Met deze regeling wordt definitief gebroken met het vroegere systeem van het voortbestaan van het ouderlijk gezag na </w:t>
      </w:r>
      <w:r w:rsidR="00867657">
        <w:rPr>
          <w:rFonts w:eastAsia="Verdana" w:cs="Verdana"/>
          <w:lang w:val="nl-NL"/>
        </w:rPr>
        <w:t xml:space="preserve">de </w:t>
      </w:r>
      <w:r>
        <w:rPr>
          <w:rFonts w:eastAsia="Verdana" w:cs="Verdana"/>
          <w:lang w:val="nl-NL"/>
        </w:rPr>
        <w:t>meerderjarigheid, dat onverenigbaar werd geacht met de eerbiediging van de autonomie van de beschermde persoon. Een meerderjarige wordt niet opnieuw onder het gezag van zijn ouders geplaatst, maar wel onderworpen aan een beschermingsmaatregel waarin vertrouwen in de ouders en gerechtelijk toezicht met elkaar in evenwicht moeten worden gebracht</w:t>
      </w:r>
      <w:r w:rsidR="000A5D2B" w:rsidRPr="00DB3C70">
        <w:rPr>
          <w:rFonts w:eastAsia="Verdana" w:cs="Verdana"/>
          <w:lang w:val="nl-NL"/>
        </w:rPr>
        <w:t>.</w:t>
      </w:r>
      <w:r w:rsidR="000A5D2B" w:rsidRPr="006F7B6A">
        <w:rPr>
          <w:rStyle w:val="Voetnootmarkering"/>
          <w:rFonts w:eastAsia="Verdana" w:cs="Verdana"/>
          <w:lang w:val="nl-NL"/>
        </w:rPr>
        <w:footnoteReference w:id="22"/>
      </w:r>
      <w:r w:rsidR="000A5D2B" w:rsidRPr="00DB3C70">
        <w:rPr>
          <w:rFonts w:eastAsia="Verdana" w:cs="Verdana"/>
          <w:lang w:val="nl-NL"/>
        </w:rPr>
        <w:t xml:space="preserve"> </w:t>
      </w:r>
    </w:p>
    <w:p w14:paraId="1C7B0BB6" w14:textId="77777777" w:rsidR="00DB3C70" w:rsidRDefault="00DB3C70" w:rsidP="00DB3C70">
      <w:pPr>
        <w:contextualSpacing/>
        <w:jc w:val="both"/>
        <w:rPr>
          <w:rFonts w:eastAsia="Verdana" w:cs="Verdana"/>
          <w:lang w:val="nl-NL"/>
        </w:rPr>
      </w:pPr>
    </w:p>
    <w:p w14:paraId="48FC777C" w14:textId="10A7B12E" w:rsidR="00D608C0" w:rsidRDefault="00DB3C70" w:rsidP="00D608C0">
      <w:pPr>
        <w:contextualSpacing/>
        <w:jc w:val="both"/>
        <w:rPr>
          <w:rFonts w:eastAsia="Verdana" w:cs="Verdana"/>
          <w:lang w:val="nl-NL"/>
        </w:rPr>
      </w:pPr>
      <w:r>
        <w:rPr>
          <w:rFonts w:eastAsia="Verdana" w:cs="Verdana"/>
          <w:lang w:val="nl-NL"/>
        </w:rPr>
        <w:t>De afwijkingen die de wetgever voor ouders-bewindvoerders heeft voorzien, houden voornamelijk verband met het gezamenlijk optreden van de ouders en met de verslaggevingsverplichting. Artikel 500/2 oud BW fungeert daarbij als een correctiemechanisme op de zware verslaggevingsverplichting die eigen is aan het vertegenwoordigingsregime.</w:t>
      </w:r>
    </w:p>
    <w:p w14:paraId="705CD9F1" w14:textId="26C73C75" w:rsidR="000A5D2B" w:rsidRPr="00184AFA" w:rsidRDefault="00B63D77" w:rsidP="00184AFA">
      <w:pPr>
        <w:pStyle w:val="Kop3"/>
      </w:pPr>
      <w:r w:rsidRPr="00184AFA">
        <w:t>Aanstellingsbeschikking</w:t>
      </w:r>
    </w:p>
    <w:p w14:paraId="14887117" w14:textId="77777777" w:rsidR="00DB3C70" w:rsidRDefault="00DB3C70" w:rsidP="00DB3C70">
      <w:pPr>
        <w:numPr>
          <w:ilvl w:val="0"/>
          <w:numId w:val="11"/>
        </w:numPr>
        <w:ind w:left="0" w:firstLine="0"/>
        <w:contextualSpacing/>
        <w:jc w:val="both"/>
        <w:rPr>
          <w:rFonts w:eastAsia="Verdana" w:cs="Verdana"/>
          <w:lang w:val="nl-NL"/>
        </w:rPr>
      </w:pPr>
      <w:r>
        <w:rPr>
          <w:rFonts w:eastAsia="Verdana" w:cs="Verdana"/>
          <w:lang w:val="nl-NL"/>
        </w:rPr>
        <w:t>Ouders-bewindvoerders met een vertegenwoordigingsopdracht zijn in beginsel onderworpen aan dezelfde verplichtingen als andere bewindvoerders met een vertegenwoordigingsopdracht. De gemeenrechtelijke bepalingen inzake vertegenwoordiging en beheer blijven dus van toepassing (art. 499 t.e.m. 499/22 oud BW)</w:t>
      </w:r>
      <w:r w:rsidR="000A5D2B" w:rsidRPr="00DB3C70">
        <w:rPr>
          <w:rFonts w:eastAsia="Verdana" w:cs="Verdana"/>
          <w:lang w:val="nl-NL"/>
        </w:rPr>
        <w:t>.</w:t>
      </w:r>
      <w:r w:rsidR="000A5D2B" w:rsidRPr="00EE0C1D">
        <w:rPr>
          <w:rStyle w:val="Voetnootmarkering"/>
          <w:rFonts w:eastAsia="Verdana" w:cs="Verdana"/>
          <w:lang w:val="nl-NL"/>
        </w:rPr>
        <w:footnoteReference w:id="23"/>
      </w:r>
      <w:r w:rsidR="000A5D2B" w:rsidRPr="00DB3C70">
        <w:rPr>
          <w:rFonts w:eastAsia="Verdana" w:cs="Verdana"/>
          <w:lang w:val="nl-NL"/>
        </w:rPr>
        <w:t xml:space="preserve"> De </w:t>
      </w:r>
      <w:r>
        <w:rPr>
          <w:rFonts w:eastAsia="Verdana" w:cs="Verdana"/>
          <w:lang w:val="nl-NL"/>
        </w:rPr>
        <w:t>artikelen 500 t.e.m. 500/4 oud BW voorzien evenwel in specifieke afwijkingen die een versoepeling van deze regels mogelijk maken voor ouders-bewindvoerders.</w:t>
      </w:r>
    </w:p>
    <w:p w14:paraId="7FD95E41" w14:textId="77777777" w:rsidR="00DB3C70" w:rsidRDefault="00DB3C70" w:rsidP="00DB3C70">
      <w:pPr>
        <w:contextualSpacing/>
        <w:jc w:val="both"/>
        <w:rPr>
          <w:rFonts w:eastAsia="Verdana" w:cs="Verdana"/>
          <w:lang w:val="nl-NL"/>
        </w:rPr>
      </w:pPr>
    </w:p>
    <w:p w14:paraId="4777017B" w14:textId="61AA461A" w:rsidR="003B3CAF" w:rsidRDefault="00DB3C70" w:rsidP="00DB3C70">
      <w:pPr>
        <w:contextualSpacing/>
        <w:jc w:val="both"/>
        <w:rPr>
          <w:rFonts w:eastAsia="Verdana" w:cs="Verdana"/>
          <w:lang w:val="nl-NL"/>
        </w:rPr>
      </w:pPr>
      <w:r>
        <w:rPr>
          <w:rFonts w:eastAsia="Verdana" w:cs="Verdana"/>
          <w:lang w:val="nl-NL"/>
        </w:rPr>
        <w:t xml:space="preserve">Deze afwijkingen worden niet automatisch toegepast, maar moeten door de vrederechter </w:t>
      </w:r>
      <w:r>
        <w:rPr>
          <w:rFonts w:eastAsia="Verdana" w:cs="Verdana"/>
          <w:i/>
          <w:iCs/>
          <w:lang w:val="nl-NL"/>
        </w:rPr>
        <w:t xml:space="preserve">in concreto </w:t>
      </w:r>
      <w:r>
        <w:rPr>
          <w:rFonts w:eastAsia="Verdana" w:cs="Verdana"/>
          <w:lang w:val="nl-NL"/>
        </w:rPr>
        <w:t>worden toegekend.</w:t>
      </w:r>
      <w:r w:rsidRPr="00EE0C1D">
        <w:rPr>
          <w:rStyle w:val="Voetnootmarkering"/>
          <w:rFonts w:eastAsia="Verdana" w:cs="Verdana"/>
          <w:lang w:val="nl-NL"/>
        </w:rPr>
        <w:footnoteReference w:id="24"/>
      </w:r>
      <w:r>
        <w:rPr>
          <w:rFonts w:eastAsia="Verdana" w:cs="Verdana"/>
          <w:lang w:val="nl-NL"/>
        </w:rPr>
        <w:t xml:space="preserve"> De vrederechter kan dit reeds doen in de aanstellingsbeschikking, maar ook op een later tijdstip tijdens het bewind</w:t>
      </w:r>
      <w:r w:rsidR="000A5D2B" w:rsidRPr="00DB3C70">
        <w:rPr>
          <w:rFonts w:eastAsia="Verdana" w:cs="Verdana"/>
          <w:lang w:val="nl-NL"/>
        </w:rPr>
        <w:t>.</w:t>
      </w:r>
      <w:r w:rsidRPr="00DB3C70">
        <w:rPr>
          <w:rStyle w:val="Voetnootmarkering"/>
          <w:rFonts w:eastAsia="Verdana" w:cs="Verdana"/>
          <w:lang w:val="nl-NL"/>
        </w:rPr>
        <w:footnoteReference w:id="25"/>
      </w:r>
    </w:p>
    <w:p w14:paraId="50F63BE1" w14:textId="0E18A270" w:rsidR="003B3CAF" w:rsidRPr="00184AFA" w:rsidRDefault="003B3CAF" w:rsidP="00184AFA">
      <w:pPr>
        <w:pStyle w:val="Kop3"/>
      </w:pPr>
      <w:r w:rsidRPr="00184AFA">
        <w:lastRenderedPageBreak/>
        <w:t>Aanvangsverslag en periodiek verslag</w:t>
      </w:r>
    </w:p>
    <w:p w14:paraId="6FE63585" w14:textId="0C613CD0" w:rsidR="003B3CAF" w:rsidRDefault="003B3CAF" w:rsidP="003B3CAF">
      <w:pPr>
        <w:numPr>
          <w:ilvl w:val="0"/>
          <w:numId w:val="11"/>
        </w:numPr>
        <w:ind w:left="0" w:firstLine="0"/>
        <w:contextualSpacing/>
        <w:jc w:val="both"/>
        <w:rPr>
          <w:rFonts w:eastAsia="Verdana" w:cs="Verdana"/>
          <w:lang w:val="nl-NL"/>
        </w:rPr>
      </w:pPr>
      <w:bookmarkStart w:id="3" w:name="_Hlk222988718"/>
      <w:r>
        <w:rPr>
          <w:rFonts w:eastAsia="Verdana" w:cs="Verdana"/>
          <w:lang w:val="nl-NL"/>
        </w:rPr>
        <w:t xml:space="preserve">In een vertegenwoordigingsregime is </w:t>
      </w:r>
      <w:r w:rsidR="00870E96">
        <w:rPr>
          <w:rFonts w:eastAsia="Verdana" w:cs="Verdana"/>
          <w:lang w:val="nl-NL"/>
        </w:rPr>
        <w:t>iedere</w:t>
      </w:r>
      <w:r>
        <w:rPr>
          <w:rFonts w:eastAsia="Verdana" w:cs="Verdana"/>
          <w:lang w:val="nl-NL"/>
        </w:rPr>
        <w:t xml:space="preserve"> bewindvoerder, behoudens specifieke vrijstelling door de vrederechter, gehouden om binnen zes weken na de kennisgeving van de beschermingsmaatregel een aanvangsverslag neer te leggen</w:t>
      </w:r>
      <w:r w:rsidRPr="003B3CAF">
        <w:rPr>
          <w:rFonts w:eastAsia="Verdana" w:cs="Verdana"/>
          <w:lang w:val="nl-NL"/>
        </w:rPr>
        <w:t>.</w:t>
      </w:r>
      <w:r w:rsidRPr="003B3CAF">
        <w:rPr>
          <w:rStyle w:val="Voetnootmarkering"/>
          <w:rFonts w:eastAsia="Verdana" w:cs="Verdana"/>
          <w:lang w:val="nl-NL"/>
        </w:rPr>
        <w:footnoteReference w:id="26"/>
      </w:r>
      <w:r>
        <w:rPr>
          <w:rFonts w:eastAsia="Verdana" w:cs="Verdana"/>
          <w:lang w:val="nl-NL"/>
        </w:rPr>
        <w:t xml:space="preserve"> </w:t>
      </w:r>
      <w:bookmarkEnd w:id="3"/>
      <w:r>
        <w:rPr>
          <w:rFonts w:eastAsia="Verdana" w:cs="Verdana"/>
          <w:lang w:val="nl-NL"/>
        </w:rPr>
        <w:t>Deze verplichting geldt onverkort voor ouders-bewindvoerders met een vertegenwoordigingsopdracht.</w:t>
      </w:r>
    </w:p>
    <w:p w14:paraId="09BCBF71" w14:textId="2909103E" w:rsidR="003B3CAF" w:rsidRDefault="003B3CAF" w:rsidP="003B3CAF">
      <w:pPr>
        <w:contextualSpacing/>
        <w:jc w:val="both"/>
        <w:rPr>
          <w:rFonts w:eastAsia="Verdana" w:cs="Verdana"/>
          <w:lang w:val="nl-NL"/>
        </w:rPr>
      </w:pPr>
    </w:p>
    <w:p w14:paraId="1A3DC09A" w14:textId="3740C620" w:rsidR="003B3CAF" w:rsidRDefault="003B3CAF" w:rsidP="003B3CAF">
      <w:pPr>
        <w:contextualSpacing/>
        <w:jc w:val="both"/>
        <w:rPr>
          <w:rFonts w:eastAsia="Verdana" w:cs="Verdana"/>
          <w:lang w:val="nl-NL"/>
        </w:rPr>
      </w:pPr>
      <w:r>
        <w:rPr>
          <w:rFonts w:eastAsia="Verdana" w:cs="Verdana"/>
          <w:lang w:val="nl-NL"/>
        </w:rPr>
        <w:t xml:space="preserve">Wat het </w:t>
      </w:r>
      <w:r w:rsidRPr="00870E96">
        <w:rPr>
          <w:rFonts w:eastAsia="Verdana" w:cs="Verdana"/>
          <w:i/>
          <w:iCs/>
          <w:lang w:val="nl-NL"/>
        </w:rPr>
        <w:t>periodiek verslag</w:t>
      </w:r>
      <w:r>
        <w:rPr>
          <w:rFonts w:eastAsia="Verdana" w:cs="Verdana"/>
          <w:lang w:val="nl-NL"/>
        </w:rPr>
        <w:t xml:space="preserve"> betreft, wijkt de regeling voor ouders-bewindvoerders af van het gemeen recht.</w:t>
      </w:r>
      <w:r w:rsidRPr="003B3CAF">
        <w:rPr>
          <w:rStyle w:val="Voetnootmarkering"/>
          <w:rFonts w:eastAsia="Verdana" w:cs="Verdana"/>
          <w:lang w:val="nl-NL"/>
        </w:rPr>
        <w:footnoteReference w:id="27"/>
      </w:r>
      <w:r>
        <w:rPr>
          <w:rFonts w:eastAsia="Verdana" w:cs="Verdana"/>
          <w:lang w:val="nl-NL"/>
        </w:rPr>
        <w:t xml:space="preserve"> Artikel 500/2 oud BW bepaalt dat de </w:t>
      </w:r>
      <w:r w:rsidRPr="003B3CAF">
        <w:rPr>
          <w:rFonts w:eastAsia="Verdana" w:cs="Verdana"/>
          <w:lang w:val="nl-NL"/>
        </w:rPr>
        <w:t>vrederechter het tijdstip, de omstandigheden en de wijze waarop ouders-bewindvoerders periodiek verslag uitbrengen</w:t>
      </w:r>
      <w:r w:rsidR="00076213">
        <w:rPr>
          <w:rFonts w:eastAsia="Verdana" w:cs="Verdana"/>
          <w:lang w:val="nl-NL"/>
        </w:rPr>
        <w:t>, vaststelt</w:t>
      </w:r>
      <w:r w:rsidRPr="003B3CAF">
        <w:rPr>
          <w:rFonts w:eastAsia="Verdana" w:cs="Verdana"/>
          <w:lang w:val="nl-NL"/>
        </w:rPr>
        <w:t>.</w:t>
      </w:r>
      <w:r w:rsidRPr="003B3CAF">
        <w:rPr>
          <w:rStyle w:val="Voetnootmarkering"/>
          <w:rFonts w:eastAsia="Verdana" w:cs="Verdana"/>
          <w:lang w:val="nl-NL"/>
        </w:rPr>
        <w:footnoteReference w:id="28"/>
      </w:r>
      <w:r w:rsidRPr="003B3CAF">
        <w:rPr>
          <w:rFonts w:eastAsia="Verdana" w:cs="Verdana"/>
          <w:lang w:val="nl-NL"/>
        </w:rPr>
        <w:t xml:space="preserve"> De vrederechter kan </w:t>
      </w:r>
      <w:r w:rsidR="00870E96">
        <w:rPr>
          <w:rFonts w:eastAsia="Verdana" w:cs="Verdana"/>
          <w:lang w:val="nl-NL"/>
        </w:rPr>
        <w:t xml:space="preserve">voor het bepalen van deze elementen </w:t>
      </w:r>
      <w:r w:rsidRPr="003B3CAF">
        <w:rPr>
          <w:rFonts w:eastAsia="Verdana" w:cs="Verdana"/>
          <w:lang w:val="nl-NL"/>
        </w:rPr>
        <w:t>de ouders, de beschermde persoon en de vertrouwenspersoon voorafgaand aan zijn beslissing horen in raadkamer waarna een beschikking volgt.</w:t>
      </w:r>
      <w:r w:rsidRPr="003B3CAF">
        <w:rPr>
          <w:rStyle w:val="Voetnootmarkering"/>
          <w:rFonts w:eastAsia="Verdana" w:cs="Verdana"/>
          <w:lang w:val="nl-NL"/>
        </w:rPr>
        <w:footnoteReference w:id="29"/>
      </w:r>
      <w:r w:rsidRPr="003B3CAF">
        <w:rPr>
          <w:rFonts w:eastAsia="Verdana" w:cs="Verdana"/>
          <w:lang w:val="nl-NL"/>
        </w:rPr>
        <w:t xml:space="preserve"> </w:t>
      </w:r>
    </w:p>
    <w:p w14:paraId="3843C783" w14:textId="77777777" w:rsidR="003B3CAF" w:rsidRDefault="003B3CAF" w:rsidP="003B3CAF">
      <w:pPr>
        <w:contextualSpacing/>
        <w:jc w:val="both"/>
        <w:rPr>
          <w:rFonts w:eastAsia="Verdana" w:cs="Verdana"/>
          <w:lang w:val="nl-NL"/>
        </w:rPr>
      </w:pPr>
    </w:p>
    <w:p w14:paraId="621C5749" w14:textId="6DE4E5D8" w:rsidR="003B3CAF" w:rsidRPr="003B3CAF" w:rsidRDefault="003B3CAF" w:rsidP="003B3CAF">
      <w:pPr>
        <w:contextualSpacing/>
        <w:jc w:val="both"/>
        <w:rPr>
          <w:rFonts w:eastAsia="Verdana" w:cs="Verdana"/>
          <w:lang w:val="nl-NL"/>
        </w:rPr>
      </w:pPr>
      <w:r w:rsidRPr="003B3CAF">
        <w:rPr>
          <w:rFonts w:eastAsia="Verdana" w:cs="Verdana"/>
          <w:lang w:val="nl-NL"/>
        </w:rPr>
        <w:t xml:space="preserve">Tevens bestaan ook afwijkingen </w:t>
      </w:r>
      <w:r w:rsidRPr="003B3CAF">
        <w:rPr>
          <w:rFonts w:eastAsia="Verdana" w:cs="Verdana"/>
          <w:i/>
          <w:iCs/>
          <w:lang w:val="nl-NL"/>
        </w:rPr>
        <w:t>in abstracto</w:t>
      </w:r>
      <w:r w:rsidRPr="003B3CAF">
        <w:rPr>
          <w:rFonts w:eastAsia="Verdana" w:cs="Verdana"/>
          <w:lang w:val="nl-NL"/>
        </w:rPr>
        <w:t>, zoals art</w:t>
      </w:r>
      <w:r w:rsidR="00C029EA">
        <w:rPr>
          <w:rFonts w:eastAsia="Verdana" w:cs="Verdana"/>
          <w:lang w:val="nl-NL"/>
        </w:rPr>
        <w:t>ikel</w:t>
      </w:r>
      <w:r w:rsidRPr="003B3CAF">
        <w:rPr>
          <w:rFonts w:eastAsia="Verdana" w:cs="Verdana"/>
          <w:lang w:val="nl-NL"/>
        </w:rPr>
        <w:t xml:space="preserve"> 500/4 oud BW in geval van overlijden van de beschermde persoon of wanneer de beschermde persoon of een nieuwe bewindvoerder uitdrukkelijk om een eindverslag verzoeken.</w:t>
      </w:r>
      <w:r w:rsidRPr="003B3CAF">
        <w:rPr>
          <w:rStyle w:val="Voetnootmarkering"/>
          <w:rFonts w:eastAsia="Verdana" w:cs="Verdana"/>
          <w:lang w:val="nl-NL"/>
        </w:rPr>
        <w:footnoteReference w:id="30"/>
      </w:r>
    </w:p>
    <w:p w14:paraId="38DDD8E9" w14:textId="2840148D" w:rsidR="000A5D2B" w:rsidRPr="00184AFA" w:rsidRDefault="00404043" w:rsidP="00184AFA">
      <w:pPr>
        <w:pStyle w:val="Kop3"/>
      </w:pPr>
      <w:r w:rsidRPr="00184AFA">
        <w:t>Initiatief van ouders-bewindvoerders</w:t>
      </w:r>
    </w:p>
    <w:p w14:paraId="3425720E" w14:textId="3B954E82" w:rsidR="00404043" w:rsidRPr="003B3CAF" w:rsidRDefault="003B3CAF" w:rsidP="003B3CAF">
      <w:pPr>
        <w:numPr>
          <w:ilvl w:val="0"/>
          <w:numId w:val="11"/>
        </w:numPr>
        <w:ind w:left="0" w:firstLine="0"/>
        <w:contextualSpacing/>
        <w:jc w:val="both"/>
        <w:rPr>
          <w:rFonts w:eastAsia="Verdana" w:cs="Verdana"/>
          <w:lang w:val="nl-NL"/>
        </w:rPr>
      </w:pPr>
      <w:r>
        <w:rPr>
          <w:rFonts w:eastAsia="Verdana" w:cs="Verdana"/>
          <w:lang w:val="nl-NL"/>
        </w:rPr>
        <w:t xml:space="preserve">De wet bepaalt niet dat de vrederechter ambtshalve moet nagaan of een vereenvoudigde verslaggevingsverplichting kan worden toegestaan. </w:t>
      </w:r>
      <w:r w:rsidRPr="003B3CAF">
        <w:rPr>
          <w:rFonts w:eastAsia="Verdana" w:cs="Verdana"/>
          <w:lang w:val="nl-NL"/>
        </w:rPr>
        <w:t xml:space="preserve">In de praktijk </w:t>
      </w:r>
      <w:r w:rsidR="0022635D">
        <w:rPr>
          <w:rFonts w:eastAsia="Verdana" w:cs="Verdana"/>
          <w:lang w:val="nl-NL"/>
        </w:rPr>
        <w:t>be</w:t>
      </w:r>
      <w:r w:rsidRPr="003B3CAF">
        <w:rPr>
          <w:rFonts w:eastAsia="Verdana" w:cs="Verdana"/>
          <w:lang w:val="nl-NL"/>
        </w:rPr>
        <w:t>rust het initiatief doorgaans bij de ouders-bewindvoerders, die expliciet moeten verzoeken om toepassing van artikel 500/2 oud BW. De vrederechter kan deze mogelijkheid wel spontaan in overweging nemen bij de organisatie van de beschermingsmaatregel, maar is daartoe niet verplicht</w:t>
      </w:r>
      <w:r w:rsidR="000A5D2B" w:rsidRPr="003B3CAF">
        <w:rPr>
          <w:rFonts w:eastAsia="Verdana" w:cs="Verdana"/>
          <w:lang w:val="nl-NL"/>
        </w:rPr>
        <w:t>.</w:t>
      </w:r>
      <w:r w:rsidR="00404043">
        <w:rPr>
          <w:rStyle w:val="Voetnootmarkering"/>
          <w:rFonts w:eastAsia="Verdana" w:cs="Verdana"/>
          <w:lang w:val="nl-NL"/>
        </w:rPr>
        <w:footnoteReference w:id="31"/>
      </w:r>
    </w:p>
    <w:p w14:paraId="4BD2E501" w14:textId="77777777" w:rsidR="00404043" w:rsidRDefault="00404043" w:rsidP="00404043">
      <w:pPr>
        <w:contextualSpacing/>
        <w:jc w:val="both"/>
        <w:rPr>
          <w:rFonts w:eastAsia="Verdana" w:cs="Verdana"/>
          <w:lang w:val="nl-NL"/>
        </w:rPr>
      </w:pPr>
    </w:p>
    <w:p w14:paraId="43F8210B" w14:textId="01527F57" w:rsidR="00404043" w:rsidRPr="00404043" w:rsidRDefault="00870E96" w:rsidP="00404043">
      <w:pPr>
        <w:numPr>
          <w:ilvl w:val="0"/>
          <w:numId w:val="11"/>
        </w:numPr>
        <w:ind w:left="0" w:firstLine="0"/>
        <w:contextualSpacing/>
        <w:jc w:val="both"/>
        <w:rPr>
          <w:rFonts w:eastAsia="Verdana" w:cs="Verdana"/>
          <w:lang w:val="nl-NL"/>
        </w:rPr>
      </w:pPr>
      <w:r>
        <w:rPr>
          <w:rFonts w:eastAsia="Verdana" w:cs="Verdana"/>
          <w:lang w:val="nl-NL"/>
        </w:rPr>
        <w:t>Het vragen van deze vereenvoudigde verslaggeving</w:t>
      </w:r>
      <w:r w:rsidR="000A5D2B" w:rsidRPr="00404043">
        <w:rPr>
          <w:rFonts w:eastAsia="Verdana" w:cs="Verdana"/>
          <w:lang w:val="nl-NL"/>
        </w:rPr>
        <w:t xml:space="preserve"> is </w:t>
      </w:r>
      <w:r w:rsidR="00404043" w:rsidRPr="00404043">
        <w:rPr>
          <w:rFonts w:eastAsia="Verdana" w:cs="Verdana"/>
          <w:lang w:val="nl-NL"/>
        </w:rPr>
        <w:t>minstens</w:t>
      </w:r>
      <w:r w:rsidR="000A5D2B" w:rsidRPr="00404043">
        <w:rPr>
          <w:rFonts w:eastAsia="Verdana" w:cs="Verdana"/>
          <w:lang w:val="nl-NL"/>
        </w:rPr>
        <w:t xml:space="preserve"> het geval voor rechterlijke beschermingsmaatregelen uitgesproken op of na 1 september 2014, dus na de inwerkingtreding van de wet van 17 maart 2013.</w:t>
      </w:r>
      <w:r w:rsidR="000A5D2B" w:rsidRPr="00EE0C1D">
        <w:rPr>
          <w:rStyle w:val="Voetnootmarkering"/>
          <w:rFonts w:eastAsia="Verdana" w:cs="Verdana"/>
          <w:lang w:val="nl-NL"/>
        </w:rPr>
        <w:footnoteReference w:id="32"/>
      </w:r>
      <w:r w:rsidR="000A5D2B" w:rsidRPr="00404043">
        <w:rPr>
          <w:rFonts w:eastAsia="Verdana" w:cs="Verdana"/>
          <w:lang w:val="nl-NL"/>
        </w:rPr>
        <w:t xml:space="preserve"> Dit is niet zo vanzelfsprekend voor de personen die verlengd minderjarig zijn verklaard en automatisch, sinds 1 september 2019, krachtens de wet in het bewind zijn ingekanteld.</w:t>
      </w:r>
      <w:r w:rsidR="000A5D2B" w:rsidRPr="00EE0C1D">
        <w:rPr>
          <w:rStyle w:val="Voetnootmarkering"/>
          <w:rFonts w:eastAsia="Verdana" w:cs="Verdana"/>
          <w:lang w:val="nl-NL"/>
        </w:rPr>
        <w:footnoteReference w:id="33"/>
      </w:r>
      <w:r w:rsidR="000A5D2B" w:rsidRPr="00404043">
        <w:rPr>
          <w:rFonts w:eastAsia="Verdana" w:cs="Verdana"/>
          <w:lang w:val="nl-NL"/>
        </w:rPr>
        <w:t xml:space="preserve"> De nieuwe bepalingen inzake het bewind leggen de ouders namelijk verregaande </w:t>
      </w:r>
      <w:r w:rsidR="000A5D2B" w:rsidRPr="00404043">
        <w:rPr>
          <w:rFonts w:eastAsia="Verdana" w:cs="Verdana"/>
          <w:lang w:val="nl-NL"/>
        </w:rPr>
        <w:lastRenderedPageBreak/>
        <w:t xml:space="preserve">verslagverplichtingen op, zeker in vergelijking </w:t>
      </w:r>
      <w:r w:rsidR="00AE2C7C">
        <w:rPr>
          <w:rFonts w:eastAsia="Verdana" w:cs="Verdana"/>
          <w:lang w:val="nl-NL"/>
        </w:rPr>
        <w:t>met</w:t>
      </w:r>
      <w:r w:rsidR="000A5D2B" w:rsidRPr="00404043">
        <w:rPr>
          <w:rFonts w:eastAsia="Verdana" w:cs="Verdana"/>
          <w:lang w:val="nl-NL"/>
        </w:rPr>
        <w:t xml:space="preserve"> het statuut van de verlengde minderjarigheid. Voor deze groep beschermde personen ontbreekt een uitdrukkelijke wettelijke bepaling, waardoor onduidelijk is of ouders expliciet om een vereenvoudigde verslaggevingsverplichting moeten verzoeken. Deze leemte in de wetgeving kan een obstakel vormen voor een uniforme toepassing en roept vragen op over de interpretatie van artikel 500/2 oud BW en de bedoeling van de wetgever. Tot op </w:t>
      </w:r>
      <w:r w:rsidR="006D0600">
        <w:rPr>
          <w:rFonts w:eastAsia="Verdana" w:cs="Verdana"/>
          <w:lang w:val="nl-NL"/>
        </w:rPr>
        <w:t>vandaag</w:t>
      </w:r>
      <w:r w:rsidR="006D0600" w:rsidRPr="00404043">
        <w:rPr>
          <w:rFonts w:eastAsia="Verdana" w:cs="Verdana"/>
          <w:lang w:val="nl-NL"/>
        </w:rPr>
        <w:t xml:space="preserve"> </w:t>
      </w:r>
      <w:r w:rsidR="000A5D2B" w:rsidRPr="00404043">
        <w:rPr>
          <w:rFonts w:eastAsia="Verdana" w:cs="Verdana"/>
          <w:lang w:val="nl-NL"/>
        </w:rPr>
        <w:t>is hier geen wettelijke oplossing voor geboden, waardoor de toepassing van de verslaggevingsverplichting bij ouders-bewindvoerders die automatisch zijn ingekanteld in het bewind sterk afhangt van de praktijk. Veel vrederechters hebben destijds wellicht de ouders-bewindvoerders uitgenodigd in raadkamer om vervolgens een beschikking te treffen, waarna een volledige verslaggevingsplicht van toepassing werd verklaard. Het staat ook deze ouders-bewindvoerders vrij om bij aanvang of tijdens het bewind aan de vrederechter een vereenvoudigde verslaggeving te vragen. Artikel 500/2 oud BW kan namelijk zo geïnterpreteerd worden dat dit niet enkel op tijdstip van organisatie mogelijk is, maar ook tijdens het reeds geldende bewind.</w:t>
      </w:r>
      <w:r w:rsidR="00076213">
        <w:rPr>
          <w:rStyle w:val="Voetnootmarkering"/>
          <w:rFonts w:eastAsia="Verdana" w:cs="Verdana"/>
          <w:lang w:val="nl-NL"/>
        </w:rPr>
        <w:footnoteReference w:id="34"/>
      </w:r>
    </w:p>
    <w:p w14:paraId="676DDDB7" w14:textId="079DABB0" w:rsidR="000A5D2B" w:rsidRPr="00184AFA" w:rsidRDefault="00404043" w:rsidP="00184AFA">
      <w:pPr>
        <w:pStyle w:val="Kop3"/>
      </w:pPr>
      <w:r w:rsidRPr="00184AFA">
        <w:t>Vereenvoudigde verslaggeving</w:t>
      </w:r>
    </w:p>
    <w:p w14:paraId="4249A3C1" w14:textId="5FA3DEA8" w:rsidR="00870E96" w:rsidRDefault="000A5D2B" w:rsidP="00D608C0">
      <w:pPr>
        <w:numPr>
          <w:ilvl w:val="0"/>
          <w:numId w:val="11"/>
        </w:numPr>
        <w:ind w:left="0" w:firstLine="0"/>
        <w:contextualSpacing/>
        <w:jc w:val="both"/>
        <w:rPr>
          <w:rFonts w:eastAsia="Verdana" w:cs="Verdana"/>
          <w:lang w:val="nl-NL"/>
        </w:rPr>
      </w:pPr>
      <w:r w:rsidRPr="006F7B6A">
        <w:rPr>
          <w:rFonts w:eastAsia="Verdana" w:cs="Verdana"/>
          <w:lang w:val="nl-NL"/>
        </w:rPr>
        <w:t>D</w:t>
      </w:r>
      <w:r w:rsidR="006F7B6A" w:rsidRPr="006F7B6A">
        <w:rPr>
          <w:rFonts w:eastAsia="Verdana" w:cs="Verdana"/>
          <w:lang w:val="nl-NL"/>
        </w:rPr>
        <w:t>e specifieke afwijking uit artikel 500/2 oud BW</w:t>
      </w:r>
      <w:r w:rsidRPr="006F7B6A">
        <w:rPr>
          <w:rFonts w:eastAsia="Verdana" w:cs="Verdana"/>
          <w:lang w:val="nl-NL"/>
        </w:rPr>
        <w:t xml:space="preserve"> </w:t>
      </w:r>
      <w:r w:rsidR="003B3CAF">
        <w:rPr>
          <w:rFonts w:eastAsia="Verdana" w:cs="Verdana"/>
          <w:lang w:val="nl-NL"/>
        </w:rPr>
        <w:t>laat toe de periodieke verslaggeving af te stemmen op de concrete omstandigheden van het gezin</w:t>
      </w:r>
      <w:r w:rsidR="00870E96">
        <w:rPr>
          <w:rFonts w:eastAsia="Verdana" w:cs="Verdana"/>
          <w:lang w:val="nl-NL"/>
        </w:rPr>
        <w:t xml:space="preserve"> en van de beschermde persoon</w:t>
      </w:r>
      <w:r w:rsidR="00D608C0">
        <w:rPr>
          <w:rFonts w:eastAsia="Verdana" w:cs="Verdana"/>
          <w:lang w:val="nl-NL"/>
        </w:rPr>
        <w:t>.</w:t>
      </w:r>
      <w:r w:rsidR="003B3CAF">
        <w:rPr>
          <w:rFonts w:eastAsia="Verdana" w:cs="Verdana"/>
          <w:lang w:val="nl-NL"/>
        </w:rPr>
        <w:t xml:space="preserve"> De wetgever vertrekt hierbij van het uitgangspunt dat ouders geacht worden het belang van hun kind te behartigen, zodat een zekere mate van vertrouwen gerechtvaardigd is</w:t>
      </w:r>
      <w:r w:rsidR="003B3CAF" w:rsidRPr="003B3CAF">
        <w:rPr>
          <w:rFonts w:eastAsia="Verdana" w:cs="Verdana"/>
          <w:lang w:val="nl-NL"/>
        </w:rPr>
        <w:t>.</w:t>
      </w:r>
      <w:r w:rsidR="003B3CAF" w:rsidRPr="00EE0C1D">
        <w:rPr>
          <w:rStyle w:val="Voetnootmarkering"/>
          <w:rFonts w:eastAsia="Verdana" w:cs="Verdana"/>
          <w:lang w:val="nl-NL"/>
        </w:rPr>
        <w:footnoteReference w:id="35"/>
      </w:r>
      <w:r w:rsidR="003B3CAF">
        <w:rPr>
          <w:rFonts w:eastAsia="Verdana" w:cs="Verdana"/>
          <w:lang w:val="nl-NL"/>
        </w:rPr>
        <w:t xml:space="preserve"> </w:t>
      </w:r>
    </w:p>
    <w:p w14:paraId="2CA1CF0A" w14:textId="77777777" w:rsidR="00870E96" w:rsidRDefault="00870E96" w:rsidP="00870E96">
      <w:pPr>
        <w:contextualSpacing/>
        <w:jc w:val="both"/>
        <w:rPr>
          <w:rFonts w:eastAsia="Verdana" w:cs="Verdana"/>
          <w:lang w:val="nl-NL"/>
        </w:rPr>
      </w:pPr>
    </w:p>
    <w:p w14:paraId="3173FCDB" w14:textId="1DF1C874" w:rsidR="006F7B6A" w:rsidRPr="00870E96" w:rsidRDefault="003B3CAF" w:rsidP="00870E96">
      <w:pPr>
        <w:numPr>
          <w:ilvl w:val="0"/>
          <w:numId w:val="11"/>
        </w:numPr>
        <w:ind w:left="0" w:firstLine="0"/>
        <w:contextualSpacing/>
        <w:jc w:val="both"/>
        <w:rPr>
          <w:rFonts w:eastAsia="Verdana" w:cs="Verdana"/>
          <w:lang w:val="nl-NL"/>
        </w:rPr>
      </w:pPr>
      <w:r>
        <w:rPr>
          <w:rFonts w:eastAsia="Verdana" w:cs="Verdana"/>
          <w:lang w:val="nl-NL"/>
        </w:rPr>
        <w:t>Deze vereenvoudiging kan verschillende vormen aannemen, zoals ee</w:t>
      </w:r>
      <w:r w:rsidRPr="00870E96">
        <w:rPr>
          <w:rFonts w:eastAsia="Verdana" w:cs="Verdana"/>
          <w:lang w:val="nl-NL"/>
        </w:rPr>
        <w:t>n vereenvoudiging van de inhoud van het verslag (bv. geen gedetailleerde uitsplitsing van inkomsten en uitgaven, enkel het voorleggen van rekeninguittreksels of de saldi van de rekeningen is noodzakelijk); een aanpassing van de frequentie (bv. tweejaarlijkse verslaggeving); een tijdelijke of voorwaardelijke verslaggevingsplicht; of verslaggeving enkel bij bepaalde ingrijpende gebeurtenissen</w:t>
      </w:r>
      <w:r w:rsidR="000A5D2B" w:rsidRPr="00870E96">
        <w:rPr>
          <w:rFonts w:eastAsia="Verdana" w:cs="Verdana"/>
          <w:lang w:val="nl-NL"/>
        </w:rPr>
        <w:t>.</w:t>
      </w:r>
      <w:r w:rsidR="000A5D2B" w:rsidRPr="00153B6C">
        <w:rPr>
          <w:rStyle w:val="Voetnootmarkering"/>
          <w:rFonts w:eastAsia="Verdana" w:cs="Verdana"/>
          <w:lang w:val="nl-NL"/>
        </w:rPr>
        <w:footnoteReference w:id="36"/>
      </w:r>
    </w:p>
    <w:p w14:paraId="54836354" w14:textId="4F866269" w:rsidR="00404043" w:rsidRDefault="00404043" w:rsidP="00404043">
      <w:pPr>
        <w:contextualSpacing/>
        <w:jc w:val="both"/>
        <w:rPr>
          <w:rFonts w:eastAsia="Verdana" w:cs="Verdana"/>
          <w:lang w:val="nl-NL"/>
        </w:rPr>
      </w:pPr>
    </w:p>
    <w:p w14:paraId="7EE0AB11" w14:textId="54EBE76C" w:rsidR="00404043" w:rsidRPr="00EE0C1D" w:rsidRDefault="00404043" w:rsidP="00404043">
      <w:pPr>
        <w:numPr>
          <w:ilvl w:val="0"/>
          <w:numId w:val="11"/>
        </w:numPr>
        <w:ind w:left="0" w:firstLine="0"/>
        <w:contextualSpacing/>
        <w:jc w:val="both"/>
        <w:rPr>
          <w:rFonts w:eastAsia="Verdana" w:cs="Verdana"/>
          <w:lang w:val="nl-NL"/>
        </w:rPr>
      </w:pPr>
      <w:r>
        <w:rPr>
          <w:rFonts w:eastAsia="Verdana" w:cs="Verdana"/>
          <w:lang w:val="nl-NL"/>
        </w:rPr>
        <w:t>Er best</w:t>
      </w:r>
      <w:r w:rsidR="00EA043A">
        <w:rPr>
          <w:rFonts w:eastAsia="Verdana" w:cs="Verdana"/>
          <w:lang w:val="nl-NL"/>
        </w:rPr>
        <w:t>onden</w:t>
      </w:r>
      <w:r w:rsidRPr="00EE0C1D">
        <w:rPr>
          <w:rFonts w:eastAsia="Verdana" w:cs="Verdana"/>
          <w:lang w:val="nl-NL"/>
        </w:rPr>
        <w:t xml:space="preserve"> </w:t>
      </w:r>
      <w:r>
        <w:rPr>
          <w:rFonts w:eastAsia="Verdana" w:cs="Verdana"/>
          <w:lang w:val="nl-NL"/>
        </w:rPr>
        <w:t xml:space="preserve">op </w:t>
      </w:r>
      <w:r w:rsidR="00BB5152">
        <w:rPr>
          <w:rFonts w:eastAsia="Verdana" w:cs="Verdana"/>
          <w:lang w:val="nl-NL"/>
        </w:rPr>
        <w:t xml:space="preserve">het </w:t>
      </w:r>
      <w:r>
        <w:rPr>
          <w:rFonts w:eastAsia="Verdana" w:cs="Verdana"/>
          <w:lang w:val="nl-NL"/>
        </w:rPr>
        <w:t xml:space="preserve">tijdstip van </w:t>
      </w:r>
      <w:r w:rsidR="00BB5152">
        <w:rPr>
          <w:rFonts w:eastAsia="Verdana" w:cs="Verdana"/>
          <w:lang w:val="nl-NL"/>
        </w:rPr>
        <w:t xml:space="preserve">de </w:t>
      </w:r>
      <w:r>
        <w:rPr>
          <w:rFonts w:eastAsia="Verdana" w:cs="Verdana"/>
          <w:lang w:val="nl-NL"/>
        </w:rPr>
        <w:t>redactie van deze tekst</w:t>
      </w:r>
      <w:r w:rsidRPr="00EE0C1D">
        <w:rPr>
          <w:rFonts w:eastAsia="Verdana" w:cs="Verdana"/>
          <w:lang w:val="nl-NL"/>
        </w:rPr>
        <w:t xml:space="preserve"> geen specifieke wettelijke criteria voor het toekennen of moduleren van een vereenvoudigde verslaggeving, waardoor de praktijken tussen verschillende arrondissementen erg verschillen.</w:t>
      </w:r>
      <w:r w:rsidR="00076213">
        <w:rPr>
          <w:rStyle w:val="Voetnootmarkering"/>
          <w:rFonts w:eastAsia="Verdana" w:cs="Verdana"/>
          <w:lang w:val="nl-NL"/>
        </w:rPr>
        <w:footnoteReference w:id="37"/>
      </w:r>
      <w:r w:rsidRPr="00EE0C1D">
        <w:rPr>
          <w:rFonts w:eastAsia="Verdana" w:cs="Verdana"/>
          <w:lang w:val="nl-NL"/>
        </w:rPr>
        <w:t xml:space="preserve"> De concrete uitwerking van de afwijking van </w:t>
      </w:r>
      <w:r w:rsidRPr="00EE0C1D">
        <w:rPr>
          <w:rFonts w:eastAsia="Verdana" w:cs="Verdana"/>
          <w:lang w:val="nl-NL"/>
        </w:rPr>
        <w:lastRenderedPageBreak/>
        <w:t xml:space="preserve">de verslaggevingsverplichting voor ouders-bewindvoerders is momenteel volledig </w:t>
      </w:r>
      <w:r w:rsidR="00870E96">
        <w:rPr>
          <w:rFonts w:eastAsia="Verdana" w:cs="Verdana"/>
          <w:lang w:val="nl-NL"/>
        </w:rPr>
        <w:t xml:space="preserve">afhankelijk van </w:t>
      </w:r>
      <w:r w:rsidRPr="00EE0C1D">
        <w:rPr>
          <w:rFonts w:eastAsia="Verdana" w:cs="Verdana"/>
          <w:lang w:val="nl-NL"/>
        </w:rPr>
        <w:t>de interpretatie van de</w:t>
      </w:r>
      <w:r w:rsidR="00870E96">
        <w:rPr>
          <w:rFonts w:eastAsia="Verdana" w:cs="Verdana"/>
          <w:lang w:val="nl-NL"/>
        </w:rPr>
        <w:t>sbetreffende</w:t>
      </w:r>
      <w:r w:rsidRPr="00EE0C1D">
        <w:rPr>
          <w:rFonts w:eastAsia="Verdana" w:cs="Verdana"/>
          <w:lang w:val="nl-NL"/>
        </w:rPr>
        <w:t xml:space="preserve"> vrederechters. </w:t>
      </w:r>
      <w:r w:rsidR="003B3CAF">
        <w:rPr>
          <w:rFonts w:eastAsia="Verdana" w:cs="Verdana"/>
          <w:lang w:val="nl-NL"/>
        </w:rPr>
        <w:t xml:space="preserve">Dit laat ruimte voor maatwerk, maar leidt in de praktijk tot aanzienlijke verschillen tussen de arrondissementen en kantons. </w:t>
      </w:r>
    </w:p>
    <w:p w14:paraId="0C0FA696" w14:textId="77777777" w:rsidR="00404043" w:rsidRPr="00EE0C1D" w:rsidRDefault="00404043" w:rsidP="00404043">
      <w:pPr>
        <w:rPr>
          <w:rFonts w:eastAsia="Verdana" w:cs="Verdana"/>
          <w:lang w:val="nl-NL"/>
        </w:rPr>
      </w:pPr>
    </w:p>
    <w:p w14:paraId="028E869E" w14:textId="77A7C9B6" w:rsidR="003B3CAF" w:rsidRDefault="00870E96" w:rsidP="00404043">
      <w:pPr>
        <w:contextualSpacing/>
        <w:jc w:val="both"/>
        <w:rPr>
          <w:rFonts w:eastAsia="Verdana" w:cs="Verdana"/>
          <w:lang w:val="nl-NL"/>
        </w:rPr>
      </w:pPr>
      <w:r>
        <w:rPr>
          <w:rFonts w:eastAsia="Verdana" w:cs="Verdana"/>
          <w:lang w:val="nl-NL"/>
        </w:rPr>
        <w:t>Dit maatwerk</w:t>
      </w:r>
      <w:r w:rsidR="00404043" w:rsidRPr="00EE0C1D">
        <w:rPr>
          <w:rFonts w:eastAsia="Verdana" w:cs="Verdana"/>
          <w:lang w:val="nl-NL"/>
        </w:rPr>
        <w:t xml:space="preserve"> biedt</w:t>
      </w:r>
      <w:r w:rsidR="003B3CAF">
        <w:rPr>
          <w:rFonts w:eastAsia="Verdana" w:cs="Verdana"/>
          <w:lang w:val="nl-NL"/>
        </w:rPr>
        <w:t xml:space="preserve"> hierbij</w:t>
      </w:r>
      <w:r w:rsidR="00404043" w:rsidRPr="00EE0C1D">
        <w:rPr>
          <w:rFonts w:eastAsia="Verdana" w:cs="Verdana"/>
          <w:lang w:val="nl-NL"/>
        </w:rPr>
        <w:t xml:space="preserve"> enige flexibiliteit in gevallen waarin de ouders al dan niet vertrouwd zijn met boekhoudkundige taken, of wanneer de ouders al een hogere leeftijd hebben en niet vertrouwd zijn met online platformen. Hoewel </w:t>
      </w:r>
      <w:r>
        <w:rPr>
          <w:rFonts w:eastAsia="Verdana" w:cs="Verdana"/>
          <w:lang w:val="nl-NL"/>
        </w:rPr>
        <w:t>dit</w:t>
      </w:r>
      <w:r w:rsidR="00404043" w:rsidRPr="00EE0C1D">
        <w:rPr>
          <w:rFonts w:eastAsia="Verdana" w:cs="Verdana"/>
          <w:lang w:val="nl-NL"/>
        </w:rPr>
        <w:t xml:space="preserve"> misschien als stigmatiserend kan worden ervaren, kan het wel van belang zijn voor het ervaren gewicht van de taken die hen worden opgelegd. Ook dat is een vermindering van de ‘zwaarte’ van het </w:t>
      </w:r>
      <w:r w:rsidR="00404043">
        <w:rPr>
          <w:rFonts w:eastAsia="Verdana" w:cs="Verdana"/>
          <w:lang w:val="nl-NL"/>
        </w:rPr>
        <w:t>ouderlijk bewind</w:t>
      </w:r>
      <w:r w:rsidR="00404043" w:rsidRPr="00EE0C1D">
        <w:rPr>
          <w:rFonts w:eastAsia="Verdana" w:cs="Verdana"/>
          <w:lang w:val="nl-NL"/>
        </w:rPr>
        <w:t xml:space="preserve">. Bovendien kan </w:t>
      </w:r>
      <w:r w:rsidR="00404043">
        <w:rPr>
          <w:rFonts w:eastAsia="Verdana" w:cs="Verdana"/>
          <w:lang w:val="nl-NL"/>
        </w:rPr>
        <w:t>dit maatwerk ervoor zorgen dat,</w:t>
      </w:r>
      <w:r w:rsidR="00404043" w:rsidRPr="00EE0C1D">
        <w:rPr>
          <w:rFonts w:eastAsia="Verdana" w:cs="Verdana"/>
          <w:lang w:val="nl-NL"/>
        </w:rPr>
        <w:t xml:space="preserve"> na jaren van correcte verslaggeving </w:t>
      </w:r>
      <w:r w:rsidR="00404043">
        <w:rPr>
          <w:rFonts w:eastAsia="Verdana" w:cs="Verdana"/>
          <w:lang w:val="nl-NL"/>
        </w:rPr>
        <w:t xml:space="preserve">en een groot </w:t>
      </w:r>
      <w:r w:rsidR="00404043" w:rsidRPr="00EE0C1D">
        <w:rPr>
          <w:rFonts w:eastAsia="Verdana" w:cs="Verdana"/>
          <w:lang w:val="nl-NL"/>
        </w:rPr>
        <w:t>vertrouwen in de ouders-bewindvoerders, de vrederechter de ouders-bewindvoerders kan ontlasten van de zware verslagverplichting. Een discretionaire bevoegdheid voor de vrederechter maakt een meer persoonlijke benadering mogelijk, die niet standaard op elke situatie wordt toegepast, waardoor een evenwichtige afweging van de belangen van alle betrokkenen wordt gewaarborgd.</w:t>
      </w:r>
      <w:r w:rsidR="003B3CAF">
        <w:rPr>
          <w:rFonts w:eastAsia="Verdana" w:cs="Verdana"/>
          <w:lang w:val="nl-NL"/>
        </w:rPr>
        <w:t xml:space="preserve"> </w:t>
      </w:r>
    </w:p>
    <w:p w14:paraId="13CDA9CB" w14:textId="77777777" w:rsidR="003B3CAF" w:rsidRDefault="003B3CAF" w:rsidP="00404043">
      <w:pPr>
        <w:contextualSpacing/>
        <w:jc w:val="both"/>
        <w:rPr>
          <w:rFonts w:eastAsia="Verdana" w:cs="Verdana"/>
          <w:lang w:val="nl-NL"/>
        </w:rPr>
      </w:pPr>
    </w:p>
    <w:p w14:paraId="3884B969" w14:textId="791A0AA0" w:rsidR="00404043" w:rsidRDefault="00C45B07" w:rsidP="00404043">
      <w:pPr>
        <w:contextualSpacing/>
        <w:jc w:val="both"/>
        <w:rPr>
          <w:rFonts w:eastAsia="Verdana" w:cs="Verdana"/>
          <w:lang w:val="nl-NL"/>
        </w:rPr>
      </w:pPr>
      <w:r>
        <w:rPr>
          <w:rFonts w:eastAsia="Verdana" w:cs="Verdana"/>
          <w:lang w:val="nl-NL"/>
        </w:rPr>
        <w:t>D</w:t>
      </w:r>
      <w:r w:rsidR="00870E96">
        <w:rPr>
          <w:rFonts w:eastAsia="Verdana" w:cs="Verdana"/>
          <w:lang w:val="nl-NL"/>
        </w:rPr>
        <w:t>eze</w:t>
      </w:r>
      <w:r w:rsidR="00404043" w:rsidRPr="00EE0C1D">
        <w:rPr>
          <w:rFonts w:eastAsia="Verdana" w:cs="Verdana"/>
          <w:lang w:val="nl-NL"/>
        </w:rPr>
        <w:t xml:space="preserve"> ruime discretionaire bevoegdheid </w:t>
      </w:r>
      <w:r>
        <w:rPr>
          <w:rFonts w:eastAsia="Verdana" w:cs="Verdana"/>
          <w:lang w:val="nl-NL"/>
        </w:rPr>
        <w:t xml:space="preserve">kan evenwel </w:t>
      </w:r>
      <w:r w:rsidR="00404043" w:rsidRPr="00EE0C1D">
        <w:rPr>
          <w:rFonts w:eastAsia="Verdana" w:cs="Verdana"/>
          <w:lang w:val="nl-NL"/>
        </w:rPr>
        <w:t>ook nadelen met zich meebrengen en dit vooral op het gebied van rechtszekerheid en rechtvaardigheid. Wanneer de afwijkingen van de standaardregels sterk afhangen van de beoordeling van de vrederechter, kan dit voor de ouders-bewindvoerders ook onzekerheid creëren.</w:t>
      </w:r>
      <w:r w:rsidR="00404043">
        <w:rPr>
          <w:rFonts w:eastAsia="Verdana" w:cs="Verdana"/>
          <w:lang w:val="nl-NL"/>
        </w:rPr>
        <w:t xml:space="preserve"> Hoewel ouders-bewindvoerders wellicht een idee hebben van de mogelijkheden, speelt nog steeds de discretionaire bevoegdheid van de vrederechter, die erg varieert per arrondissement.</w:t>
      </w:r>
      <w:r w:rsidR="00404043" w:rsidRPr="00EE0C1D">
        <w:rPr>
          <w:rFonts w:eastAsia="Verdana" w:cs="Verdana"/>
          <w:lang w:val="nl-NL"/>
        </w:rPr>
        <w:t xml:space="preserve"> </w:t>
      </w:r>
      <w:r w:rsidR="00404043">
        <w:rPr>
          <w:rFonts w:eastAsia="Verdana" w:cs="Verdana"/>
          <w:lang w:val="nl-NL"/>
        </w:rPr>
        <w:t>Ouders-bewindvoerders weten dus niet hoe de regeling voor hen zal uitpakken</w:t>
      </w:r>
      <w:r w:rsidR="00404043" w:rsidRPr="00EE0C1D">
        <w:rPr>
          <w:rFonts w:eastAsia="Verdana" w:cs="Verdana"/>
          <w:lang w:val="nl-NL"/>
        </w:rPr>
        <w:t xml:space="preserve">. </w:t>
      </w:r>
      <w:r w:rsidR="00404043">
        <w:rPr>
          <w:rFonts w:eastAsia="Verdana" w:cs="Verdana"/>
          <w:lang w:val="nl-NL"/>
        </w:rPr>
        <w:t>Dit</w:t>
      </w:r>
      <w:r w:rsidR="00404043" w:rsidRPr="00EE0C1D">
        <w:rPr>
          <w:rFonts w:eastAsia="Verdana" w:cs="Verdana"/>
          <w:lang w:val="nl-NL"/>
        </w:rPr>
        <w:t xml:space="preserve"> maakt het mandaat van ouders-bewindvoerders minder transparant en minder duidelijk, vooral wanneer dit </w:t>
      </w:r>
      <w:r w:rsidR="00404043">
        <w:rPr>
          <w:rFonts w:eastAsia="Verdana" w:cs="Verdana"/>
          <w:lang w:val="nl-NL"/>
        </w:rPr>
        <w:t>wordt vergeleken met het</w:t>
      </w:r>
      <w:r w:rsidR="00404043" w:rsidRPr="00EE0C1D">
        <w:rPr>
          <w:rFonts w:eastAsia="Verdana" w:cs="Verdana"/>
          <w:lang w:val="nl-NL"/>
        </w:rPr>
        <w:t xml:space="preserve"> mandaat van andere familiale of professionele bewindvoerder</w:t>
      </w:r>
      <w:r w:rsidR="00404043">
        <w:rPr>
          <w:rFonts w:eastAsia="Verdana" w:cs="Verdana"/>
          <w:lang w:val="nl-NL"/>
        </w:rPr>
        <w:t>s: waar voor laatstgenoemden de regels en verplichtingen vaak meer gestandaardiseerd en vooraf bepaald zijn, zijn de afwijkingen voor ouders-bewindvoerders afhankelijk van de discretionaire bevoegdheid van de vrederechter. Dit kan leiden tot onduidelijkheid over wat nu precies verwacht wordt van ouders-bewindvoerders.</w:t>
      </w:r>
    </w:p>
    <w:p w14:paraId="31AD906B" w14:textId="6A8A206D" w:rsidR="006F7B6A" w:rsidRDefault="006F7B6A" w:rsidP="00404043">
      <w:pPr>
        <w:contextualSpacing/>
        <w:jc w:val="both"/>
        <w:rPr>
          <w:rFonts w:eastAsia="Verdana" w:cs="Verdana"/>
          <w:lang w:val="nl-NL"/>
        </w:rPr>
      </w:pPr>
    </w:p>
    <w:p w14:paraId="4E21A251" w14:textId="52D66E59" w:rsidR="00325440" w:rsidRDefault="00325440" w:rsidP="00325440">
      <w:pPr>
        <w:numPr>
          <w:ilvl w:val="0"/>
          <w:numId w:val="11"/>
        </w:numPr>
        <w:ind w:left="0" w:firstLine="0"/>
        <w:contextualSpacing/>
        <w:jc w:val="both"/>
        <w:rPr>
          <w:rFonts w:eastAsia="Verdana" w:cs="Verdana"/>
          <w:lang w:val="nl-NL"/>
        </w:rPr>
      </w:pPr>
      <w:r w:rsidRPr="00325440">
        <w:rPr>
          <w:rFonts w:eastAsia="Verdana" w:cs="Verdana"/>
          <w:lang w:val="nl-NL"/>
        </w:rPr>
        <w:t xml:space="preserve">Omwille van de afwezigheid van wettelijke criteria voor </w:t>
      </w:r>
      <w:r w:rsidR="00A01AE1">
        <w:rPr>
          <w:rFonts w:eastAsia="Verdana" w:cs="Verdana"/>
          <w:lang w:val="nl-NL"/>
        </w:rPr>
        <w:t>de</w:t>
      </w:r>
      <w:r w:rsidR="00A01AE1" w:rsidRPr="00325440">
        <w:rPr>
          <w:rFonts w:eastAsia="Verdana" w:cs="Verdana"/>
          <w:lang w:val="nl-NL"/>
        </w:rPr>
        <w:t xml:space="preserve"> </w:t>
      </w:r>
      <w:r w:rsidRPr="00325440">
        <w:rPr>
          <w:rFonts w:eastAsia="Verdana" w:cs="Verdana"/>
          <w:lang w:val="nl-NL"/>
        </w:rPr>
        <w:t>toekenn</w:t>
      </w:r>
      <w:r w:rsidR="00A01AE1">
        <w:rPr>
          <w:rFonts w:eastAsia="Verdana" w:cs="Verdana"/>
          <w:lang w:val="nl-NL"/>
        </w:rPr>
        <w:t>ing</w:t>
      </w:r>
      <w:r w:rsidRPr="00325440">
        <w:rPr>
          <w:rFonts w:eastAsia="Verdana" w:cs="Verdana"/>
          <w:lang w:val="nl-NL"/>
        </w:rPr>
        <w:t xml:space="preserve"> van een vereenvoudigde verslaggeving toont</w:t>
      </w:r>
      <w:r w:rsidR="003B3CAF" w:rsidRPr="00325440">
        <w:rPr>
          <w:rFonts w:eastAsia="Verdana" w:cs="Verdana"/>
          <w:lang w:val="nl-NL"/>
        </w:rPr>
        <w:t xml:space="preserve"> de rechtspraak</w:t>
      </w:r>
      <w:r w:rsidR="003B3CAF" w:rsidRPr="003B3CAF">
        <w:rPr>
          <w:rFonts w:eastAsia="Verdana" w:cs="Verdana"/>
          <w:lang w:val="nl-NL"/>
        </w:rPr>
        <w:t xml:space="preserve"> een duidelijke divergentie in de toepassing van artikel 500/2 oud BW. Sommige vrederechters hanteren een pragmatische benadering, andere benadrukken daarentegen hun controletaak en weigeren structurele versoepelingen omwille van het risico op misbruik</w:t>
      </w:r>
      <w:r>
        <w:rPr>
          <w:rFonts w:eastAsia="Verdana" w:cs="Verdana"/>
          <w:lang w:val="nl-NL"/>
        </w:rPr>
        <w:t xml:space="preserve"> (zie </w:t>
      </w:r>
      <w:r>
        <w:rPr>
          <w:rFonts w:eastAsia="Verdana" w:cs="Verdana"/>
          <w:i/>
          <w:iCs/>
          <w:lang w:val="nl-NL"/>
        </w:rPr>
        <w:t>infra</w:t>
      </w:r>
      <w:r>
        <w:rPr>
          <w:rFonts w:eastAsia="Verdana" w:cs="Verdana"/>
          <w:lang w:val="nl-NL"/>
        </w:rPr>
        <w:t>, f)</w:t>
      </w:r>
      <w:r w:rsidR="003B3CAF" w:rsidRPr="003B3CAF">
        <w:rPr>
          <w:rFonts w:eastAsia="Verdana" w:cs="Verdana"/>
          <w:lang w:val="nl-NL"/>
        </w:rPr>
        <w:t>. Deze uiteenlopende benaderingen illustreren dat artikel 500/2 oud BW functioneert als een open norm, waarvan de concrete betekenis sterk afhankelijk is van de rechterlijke appreciatie</w:t>
      </w:r>
      <w:r w:rsidR="00870E96">
        <w:rPr>
          <w:rFonts w:eastAsia="Verdana" w:cs="Verdana"/>
          <w:lang w:val="nl-NL"/>
        </w:rPr>
        <w:t>.</w:t>
      </w:r>
    </w:p>
    <w:p w14:paraId="358148F1" w14:textId="77777777" w:rsidR="00325440" w:rsidRDefault="00325440" w:rsidP="00325440">
      <w:pPr>
        <w:contextualSpacing/>
        <w:jc w:val="both"/>
        <w:rPr>
          <w:rFonts w:eastAsia="Verdana" w:cs="Verdana"/>
          <w:lang w:val="nl-NL"/>
        </w:rPr>
      </w:pPr>
    </w:p>
    <w:p w14:paraId="21D1FEF2" w14:textId="3BD81FFD" w:rsidR="00325440" w:rsidRPr="00325440" w:rsidRDefault="00325440" w:rsidP="00325440">
      <w:pPr>
        <w:contextualSpacing/>
        <w:jc w:val="both"/>
        <w:rPr>
          <w:rFonts w:eastAsia="Verdana" w:cs="Verdana"/>
          <w:lang w:val="nl-NL"/>
        </w:rPr>
      </w:pPr>
      <w:r w:rsidRPr="00325440">
        <w:rPr>
          <w:rFonts w:eastAsia="Verdana" w:cs="Verdana"/>
          <w:lang w:val="nl-NL"/>
        </w:rPr>
        <w:t>De vrederechter zal de modaliteiten van de afwijking zelf bepalen. Dit betekent dat de verslaggeving voor bepaalde ouders-bewindvoerders dus soepeler kan zijn dan voor andere ouders-bewindvoerders en zeker soepeler dan voor andere familiale en professionele bewindvoerders. De vrederechter kan bv. ook bepalen dat verslaggeving geheel of gedeeltelijk niet nodig is. Een uitzondering kan dus verschillende vormen aannemen. Zo kan de vrederechter een verslag opgemaakt door ouders-bewindvoerders bv. enkel noodzakelijk vinden bij ingrijpende wijzigingen zoals het overlijden van één ouder of een verhuis van de beschermde persoon naar een voorziening.</w:t>
      </w:r>
      <w:r w:rsidRPr="00EE0C1D">
        <w:rPr>
          <w:rStyle w:val="Voetnootmarkering"/>
          <w:lang w:val="nl-NL"/>
        </w:rPr>
        <w:footnoteReference w:id="38"/>
      </w:r>
    </w:p>
    <w:p w14:paraId="11C3F7AF" w14:textId="77777777" w:rsidR="006F7B6A" w:rsidRDefault="006F7B6A" w:rsidP="006F7B6A">
      <w:pPr>
        <w:contextualSpacing/>
        <w:jc w:val="both"/>
        <w:rPr>
          <w:rFonts w:eastAsia="Verdana" w:cs="Verdana"/>
          <w:lang w:val="nl-NL"/>
        </w:rPr>
      </w:pPr>
    </w:p>
    <w:p w14:paraId="2601A940" w14:textId="48BF642E" w:rsidR="006F7B6A" w:rsidRDefault="006F7B6A" w:rsidP="006F7B6A">
      <w:pPr>
        <w:contextualSpacing/>
        <w:jc w:val="both"/>
        <w:rPr>
          <w:rFonts w:eastAsia="Verdana" w:cs="Verdana"/>
          <w:lang w:val="nl-NL"/>
        </w:rPr>
      </w:pPr>
      <w:r>
        <w:rPr>
          <w:rFonts w:eastAsia="Verdana" w:cs="Verdana"/>
          <w:lang w:val="nl-NL"/>
        </w:rPr>
        <w:lastRenderedPageBreak/>
        <w:t xml:space="preserve">De </w:t>
      </w:r>
      <w:r w:rsidRPr="00184AFA">
        <w:rPr>
          <w:rFonts w:eastAsia="Verdana" w:cs="Verdana"/>
          <w:iCs/>
          <w:lang w:val="nl-NL"/>
        </w:rPr>
        <w:t>vrederechter van het eerste kanton Brugge</w:t>
      </w:r>
      <w:r>
        <w:rPr>
          <w:rFonts w:eastAsia="Verdana" w:cs="Verdana"/>
          <w:lang w:val="nl-NL"/>
        </w:rPr>
        <w:t xml:space="preserve"> oordeelde</w:t>
      </w:r>
      <w:r w:rsidRPr="00EE0C1D">
        <w:rPr>
          <w:rFonts w:eastAsia="Verdana" w:cs="Verdana"/>
          <w:lang w:val="nl-NL"/>
        </w:rPr>
        <w:t xml:space="preserve"> dat een vereenvoudigde verslaggeving mogelijk is na de ouders-bewindvoerders te hebben gehoord in raadkamer.</w:t>
      </w:r>
      <w:r>
        <w:rPr>
          <w:rStyle w:val="Voetnootmarkering"/>
          <w:rFonts w:eastAsia="Verdana" w:cs="Verdana"/>
          <w:lang w:val="nl-NL"/>
        </w:rPr>
        <w:footnoteReference w:id="39"/>
      </w:r>
      <w:r w:rsidRPr="00EE0C1D">
        <w:rPr>
          <w:rFonts w:eastAsia="Verdana" w:cs="Verdana"/>
          <w:lang w:val="nl-NL"/>
        </w:rPr>
        <w:t xml:space="preserve"> De vrederechter staat in zijn beschikking toe dat de ouders-bewindvoerders een vereenvoudigd periodiek/jaarlijks verslag mogen neerleggen, maar enkel wanneer zij gebruik maken van de elektronische verslaggeving in het CRBP (</w:t>
      </w:r>
      <w:r w:rsidRPr="00CC0733">
        <w:rPr>
          <w:rFonts w:eastAsia="Verdana" w:cs="Verdana"/>
          <w:i/>
          <w:lang w:val="nl-NL"/>
        </w:rPr>
        <w:t>i.e.</w:t>
      </w:r>
      <w:r w:rsidRPr="00EE0C1D">
        <w:rPr>
          <w:rFonts w:eastAsia="Verdana" w:cs="Verdana"/>
          <w:lang w:val="nl-NL"/>
        </w:rPr>
        <w:t xml:space="preserve"> </w:t>
      </w:r>
      <w:r w:rsidR="00D608C0">
        <w:rPr>
          <w:rFonts w:eastAsia="Verdana" w:cs="Verdana"/>
          <w:lang w:val="nl-NL"/>
        </w:rPr>
        <w:t>‘</w:t>
      </w:r>
      <w:r>
        <w:rPr>
          <w:rFonts w:eastAsia="Verdana" w:cs="Verdana"/>
          <w:lang w:val="nl-NL"/>
        </w:rPr>
        <w:t xml:space="preserve">de </w:t>
      </w:r>
      <w:r w:rsidRPr="00EE0C1D">
        <w:rPr>
          <w:rFonts w:eastAsia="Verdana" w:cs="Verdana"/>
          <w:lang w:val="nl-NL"/>
        </w:rPr>
        <w:t>wijze waarop</w:t>
      </w:r>
      <w:r w:rsidR="00D608C0">
        <w:rPr>
          <w:rFonts w:eastAsia="Verdana" w:cs="Verdana"/>
          <w:lang w:val="nl-NL"/>
        </w:rPr>
        <w:t>’</w:t>
      </w:r>
      <w:r w:rsidRPr="00EE0C1D">
        <w:rPr>
          <w:rFonts w:eastAsia="Verdana" w:cs="Verdana"/>
          <w:lang w:val="nl-NL"/>
        </w:rPr>
        <w:t xml:space="preserve">). Deze vereenvoudiging </w:t>
      </w:r>
      <w:r>
        <w:rPr>
          <w:rFonts w:eastAsia="Verdana" w:cs="Verdana"/>
          <w:lang w:val="nl-NL"/>
        </w:rPr>
        <w:t>bestaat</w:t>
      </w:r>
      <w:r w:rsidRPr="00EE0C1D">
        <w:rPr>
          <w:rFonts w:eastAsia="Verdana" w:cs="Verdana"/>
          <w:lang w:val="nl-NL"/>
        </w:rPr>
        <w:t xml:space="preserve"> eruit dat de detaillering van de inkomsten en uitgaven voorzien in Tabblad 7 door de ouders-bewindvoerders mag worden weggelaten (</w:t>
      </w:r>
      <w:r w:rsidRPr="00CC0733">
        <w:rPr>
          <w:rFonts w:eastAsia="Verdana" w:cs="Verdana"/>
          <w:i/>
          <w:lang w:val="nl-NL"/>
        </w:rPr>
        <w:t>i.e.</w:t>
      </w:r>
      <w:r w:rsidRPr="00EE0C1D">
        <w:rPr>
          <w:rFonts w:eastAsia="Verdana" w:cs="Verdana"/>
          <w:lang w:val="nl-NL"/>
        </w:rPr>
        <w:t xml:space="preserve"> </w:t>
      </w:r>
      <w:r w:rsidR="00D608C0">
        <w:rPr>
          <w:rFonts w:eastAsia="Verdana" w:cs="Verdana"/>
          <w:lang w:val="nl-NL"/>
        </w:rPr>
        <w:t>‘</w:t>
      </w:r>
      <w:r>
        <w:rPr>
          <w:rFonts w:eastAsia="Verdana" w:cs="Verdana"/>
          <w:lang w:val="nl-NL"/>
        </w:rPr>
        <w:t xml:space="preserve">de </w:t>
      </w:r>
      <w:r w:rsidRPr="00EE0C1D">
        <w:rPr>
          <w:rFonts w:eastAsia="Verdana" w:cs="Verdana"/>
          <w:lang w:val="nl-NL"/>
        </w:rPr>
        <w:t>omstandigheden waarin</w:t>
      </w:r>
      <w:r w:rsidR="00D608C0">
        <w:rPr>
          <w:rFonts w:eastAsia="Verdana" w:cs="Verdana"/>
          <w:lang w:val="nl-NL"/>
        </w:rPr>
        <w:t>’</w:t>
      </w:r>
      <w:r w:rsidRPr="00EE0C1D">
        <w:rPr>
          <w:rFonts w:eastAsia="Verdana" w:cs="Verdana"/>
          <w:lang w:val="nl-NL"/>
        </w:rPr>
        <w:t>).</w:t>
      </w:r>
      <w:r>
        <w:rPr>
          <w:rFonts w:eastAsia="Verdana" w:cs="Verdana"/>
          <w:lang w:val="nl-NL"/>
        </w:rPr>
        <w:t xml:space="preserve"> De vrederechter wijzigt niets aan </w:t>
      </w:r>
      <w:r w:rsidR="00D608C0">
        <w:rPr>
          <w:rFonts w:eastAsia="Verdana" w:cs="Verdana"/>
          <w:lang w:val="nl-NL"/>
        </w:rPr>
        <w:t>‘</w:t>
      </w:r>
      <w:r>
        <w:rPr>
          <w:rFonts w:eastAsia="Verdana" w:cs="Verdana"/>
          <w:lang w:val="nl-NL"/>
        </w:rPr>
        <w:t>het tijdstip waarop</w:t>
      </w:r>
      <w:r w:rsidR="00D608C0">
        <w:rPr>
          <w:rFonts w:eastAsia="Verdana" w:cs="Verdana"/>
          <w:lang w:val="nl-NL"/>
        </w:rPr>
        <w:t>’</w:t>
      </w:r>
      <w:r>
        <w:rPr>
          <w:rFonts w:eastAsia="Verdana" w:cs="Verdana"/>
          <w:lang w:val="nl-NL"/>
        </w:rPr>
        <w:t xml:space="preserve"> het verslag moet worden neergelegd.</w:t>
      </w:r>
      <w:r w:rsidRPr="00404043">
        <w:rPr>
          <w:rFonts w:eastAsia="Verdana" w:cs="Verdana"/>
          <w:lang w:val="nl-NL"/>
        </w:rPr>
        <w:t xml:space="preserve"> </w:t>
      </w:r>
      <w:r w:rsidRPr="00FF0115">
        <w:rPr>
          <w:rFonts w:eastAsia="Verdana" w:cs="Verdana"/>
          <w:lang w:val="nl-NL"/>
        </w:rPr>
        <w:t xml:space="preserve">Dit lijkt te </w:t>
      </w:r>
      <w:r>
        <w:rPr>
          <w:rFonts w:eastAsia="Verdana" w:cs="Verdana"/>
          <w:lang w:val="nl-NL"/>
        </w:rPr>
        <w:t>wijzen</w:t>
      </w:r>
      <w:r w:rsidRPr="00FF0115">
        <w:rPr>
          <w:rFonts w:eastAsia="Verdana" w:cs="Verdana"/>
          <w:lang w:val="nl-NL"/>
        </w:rPr>
        <w:t xml:space="preserve"> op een </w:t>
      </w:r>
      <w:r>
        <w:rPr>
          <w:rFonts w:eastAsia="Verdana" w:cs="Verdana"/>
          <w:lang w:val="nl-NL"/>
        </w:rPr>
        <w:t>evenwichtige</w:t>
      </w:r>
      <w:r w:rsidRPr="00FF0115">
        <w:rPr>
          <w:rFonts w:eastAsia="Verdana" w:cs="Verdana"/>
          <w:lang w:val="nl-NL"/>
        </w:rPr>
        <w:t xml:space="preserve"> aanpak, waarbij de vrederechter binnen zijn discretionaire bevoegdheid rekening houdt met de praktische moeilijkheden voor familiale bewindvoerders </w:t>
      </w:r>
      <w:r w:rsidRPr="00FF0115">
        <w:rPr>
          <w:rFonts w:eastAsia="Verdana" w:cs="Verdana"/>
          <w:i/>
          <w:iCs/>
          <w:lang w:val="nl-NL"/>
        </w:rPr>
        <w:t>in concreto</w:t>
      </w:r>
      <w:r w:rsidRPr="00FF0115">
        <w:rPr>
          <w:rFonts w:eastAsia="Verdana" w:cs="Verdana"/>
          <w:lang w:val="nl-NL"/>
        </w:rPr>
        <w:t>.</w:t>
      </w:r>
      <w:r>
        <w:rPr>
          <w:rFonts w:eastAsia="Verdana" w:cs="Verdana"/>
          <w:lang w:val="nl-NL"/>
        </w:rPr>
        <w:t xml:space="preserve"> De vrederechter gaat in </w:t>
      </w:r>
      <w:r w:rsidR="00186CAC">
        <w:rPr>
          <w:rFonts w:eastAsia="Verdana" w:cs="Verdana"/>
          <w:lang w:val="nl-NL"/>
        </w:rPr>
        <w:t>zijn</w:t>
      </w:r>
      <w:r>
        <w:rPr>
          <w:rFonts w:eastAsia="Verdana" w:cs="Verdana"/>
          <w:lang w:val="nl-NL"/>
        </w:rPr>
        <w:t xml:space="preserve"> beschikking niet in op de vraag onder welke voorwaarden een uitzondering op de verslaggevingsplicht kan worden toegekend. </w:t>
      </w:r>
      <w:r w:rsidRPr="00EE0C1D">
        <w:rPr>
          <w:rFonts w:eastAsia="Verdana" w:cs="Verdana"/>
          <w:i/>
          <w:iCs/>
          <w:lang w:val="nl-NL"/>
        </w:rPr>
        <w:t xml:space="preserve">In casu </w:t>
      </w:r>
      <w:r w:rsidRPr="00EE0C1D">
        <w:rPr>
          <w:rFonts w:eastAsia="Verdana" w:cs="Verdana"/>
          <w:lang w:val="nl-NL"/>
        </w:rPr>
        <w:t xml:space="preserve">betreft de </w:t>
      </w:r>
      <w:r>
        <w:rPr>
          <w:rFonts w:eastAsia="Verdana" w:cs="Verdana"/>
          <w:lang w:val="nl-NL"/>
        </w:rPr>
        <w:t xml:space="preserve">geannoteerde </w:t>
      </w:r>
      <w:r w:rsidRPr="00EE0C1D">
        <w:rPr>
          <w:rFonts w:eastAsia="Verdana" w:cs="Verdana"/>
          <w:lang w:val="nl-NL"/>
        </w:rPr>
        <w:t>beschikking geen modalisering van de termijn</w:t>
      </w:r>
      <w:r>
        <w:rPr>
          <w:rFonts w:eastAsia="Verdana" w:cs="Verdana"/>
          <w:lang w:val="nl-NL"/>
        </w:rPr>
        <w:t xml:space="preserve"> </w:t>
      </w:r>
      <w:r w:rsidRPr="00EE0C1D">
        <w:rPr>
          <w:rFonts w:eastAsia="Verdana" w:cs="Verdana"/>
          <w:lang w:val="nl-NL"/>
        </w:rPr>
        <w:t xml:space="preserve">waarop een verslag moet worden neergelegd door de ouders-bewindvoerders. </w:t>
      </w:r>
      <w:r w:rsidRPr="00EE0C1D">
        <w:rPr>
          <w:rFonts w:eastAsia="Verdana" w:cs="Verdana"/>
          <w:i/>
          <w:iCs/>
          <w:lang w:val="nl-NL"/>
        </w:rPr>
        <w:t xml:space="preserve">In casu </w:t>
      </w:r>
      <w:r w:rsidRPr="00EE0C1D">
        <w:rPr>
          <w:rFonts w:eastAsia="Verdana" w:cs="Verdana"/>
          <w:lang w:val="nl-NL"/>
        </w:rPr>
        <w:t>beslist</w:t>
      </w:r>
      <w:r>
        <w:rPr>
          <w:rFonts w:eastAsia="Verdana" w:cs="Verdana"/>
          <w:lang w:val="nl-NL"/>
        </w:rPr>
        <w:t>e</w:t>
      </w:r>
      <w:r w:rsidRPr="00EE0C1D">
        <w:rPr>
          <w:rFonts w:eastAsia="Verdana" w:cs="Verdana"/>
          <w:lang w:val="nl-NL"/>
        </w:rPr>
        <w:t xml:space="preserve"> de vrederechter enkel tot vereenvoudiging van de elementen opgenomen in het verslag van de ouders-bewindvoerders. </w:t>
      </w:r>
    </w:p>
    <w:p w14:paraId="4753AD66" w14:textId="759F1102" w:rsidR="000A5D2B" w:rsidRPr="00153B6C" w:rsidRDefault="000A5D2B" w:rsidP="000A5D2B">
      <w:pPr>
        <w:contextualSpacing/>
        <w:jc w:val="both"/>
        <w:rPr>
          <w:rFonts w:eastAsia="Verdana" w:cs="Verdana"/>
          <w:lang w:val="nl-NL"/>
        </w:rPr>
      </w:pPr>
    </w:p>
    <w:p w14:paraId="55AB4284" w14:textId="5831A444" w:rsidR="00325440" w:rsidRDefault="00325440" w:rsidP="00C146D0">
      <w:pPr>
        <w:numPr>
          <w:ilvl w:val="0"/>
          <w:numId w:val="11"/>
        </w:numPr>
        <w:ind w:left="0" w:firstLine="0"/>
        <w:contextualSpacing/>
        <w:jc w:val="both"/>
        <w:rPr>
          <w:rFonts w:eastAsia="Verdana" w:cs="Verdana"/>
          <w:lang w:val="nl-NL"/>
        </w:rPr>
      </w:pPr>
      <w:r>
        <w:rPr>
          <w:rFonts w:eastAsia="Verdana" w:cs="Verdana"/>
          <w:lang w:val="nl-NL"/>
        </w:rPr>
        <w:t>Uit</w:t>
      </w:r>
      <w:r w:rsidR="000A5D2B" w:rsidRPr="00EE0C1D">
        <w:rPr>
          <w:rFonts w:eastAsia="Verdana" w:cs="Verdana"/>
          <w:lang w:val="nl-NL"/>
        </w:rPr>
        <w:t xml:space="preserve"> het empirisch onderzoek </w:t>
      </w:r>
      <w:r>
        <w:rPr>
          <w:rFonts w:eastAsia="Verdana" w:cs="Verdana"/>
          <w:lang w:val="nl-NL"/>
        </w:rPr>
        <w:t>d</w:t>
      </w:r>
      <w:r w:rsidR="000A5D2B">
        <w:rPr>
          <w:rFonts w:eastAsia="Verdana" w:cs="Verdana"/>
          <w:lang w:val="nl-NL"/>
        </w:rPr>
        <w:t>at werd</w:t>
      </w:r>
      <w:r w:rsidR="000A5D2B" w:rsidRPr="00EE0C1D">
        <w:rPr>
          <w:rFonts w:eastAsia="Verdana" w:cs="Verdana"/>
          <w:lang w:val="nl-NL"/>
        </w:rPr>
        <w:t xml:space="preserve"> beschreven in het eindrapport van de evaluatie van de wet van 17 maart 2013</w:t>
      </w:r>
      <w:r>
        <w:rPr>
          <w:rFonts w:eastAsia="Verdana" w:cs="Verdana"/>
          <w:lang w:val="nl-NL"/>
        </w:rPr>
        <w:t xml:space="preserve"> blijkt eveneens dat deze vereenvoudiging niet vaak wordt toegepast</w:t>
      </w:r>
      <w:r w:rsidR="000A5D2B" w:rsidRPr="00EE0C1D">
        <w:rPr>
          <w:rFonts w:eastAsia="Verdana" w:cs="Verdana"/>
          <w:lang w:val="nl-NL"/>
        </w:rPr>
        <w:t>.</w:t>
      </w:r>
      <w:r w:rsidR="000A5D2B" w:rsidRPr="00EE0C1D">
        <w:rPr>
          <w:rStyle w:val="Voetnootmarkering"/>
          <w:rFonts w:eastAsia="Verdana" w:cs="Verdana"/>
          <w:lang w:val="nl-NL"/>
        </w:rPr>
        <w:footnoteReference w:id="40"/>
      </w:r>
      <w:r w:rsidR="000A5D2B" w:rsidRPr="00EE0C1D">
        <w:rPr>
          <w:rFonts w:eastAsia="Verdana" w:cs="Verdana"/>
          <w:lang w:val="nl-NL"/>
        </w:rPr>
        <w:t xml:space="preserve"> En wanneer deze vereenvoudiging wel wordt toegepast, is de toepassing ervan erg uiteenlopend.</w:t>
      </w:r>
      <w:r w:rsidR="000A5D2B" w:rsidRPr="00EE0C1D">
        <w:rPr>
          <w:rStyle w:val="Voetnootmarkering"/>
          <w:rFonts w:eastAsia="Verdana" w:cs="Verdana"/>
          <w:lang w:val="nl-NL"/>
        </w:rPr>
        <w:footnoteReference w:id="41"/>
      </w:r>
      <w:r w:rsidR="000A5D2B" w:rsidRPr="00EE0C1D">
        <w:rPr>
          <w:rFonts w:eastAsia="Verdana" w:cs="Verdana"/>
          <w:lang w:val="nl-NL"/>
        </w:rPr>
        <w:t xml:space="preserve"> Aan de respondenten werd gevraagd hoe vaak er in een afwijking van de verslaggevingsverplichting voor ouders-bewindvoerders wordt voorzien. </w:t>
      </w:r>
      <w:r w:rsidR="000A5D2B">
        <w:rPr>
          <w:rFonts w:eastAsia="Verdana" w:cs="Verdana"/>
          <w:lang w:val="nl-NL"/>
        </w:rPr>
        <w:t xml:space="preserve">Het voorzien van een afwijking blijkt eerder de uitzondering dan de regel te zijn. </w:t>
      </w:r>
      <w:r w:rsidR="000A5D2B" w:rsidRPr="00EE0C1D">
        <w:rPr>
          <w:rFonts w:eastAsia="Verdana" w:cs="Verdana"/>
          <w:lang w:val="nl-NL"/>
        </w:rPr>
        <w:t>Vervolgens werd gepolst naar de vorm die deze afwijking dan aanneemt. Deze afwijkingen omvatten o.a. een vereenvoudiging van de elementen die in het verslag worden opgenomen, een verlenging van de termijn (bv. tweejaarlijkse verslagen), een (tijdelijke) vrijstelling van de verslaggevingsplicht of enkel een verslaggevingsplicht in bepaalde gevallen.</w:t>
      </w:r>
      <w:r w:rsidR="000A5D2B" w:rsidRPr="00EE0C1D">
        <w:rPr>
          <w:rStyle w:val="Voetnootmarkering"/>
          <w:rFonts w:eastAsia="Verdana" w:cs="Verdana"/>
          <w:lang w:val="nl-NL"/>
        </w:rPr>
        <w:footnoteReference w:id="42"/>
      </w:r>
      <w:r w:rsidR="000A5D2B">
        <w:rPr>
          <w:rFonts w:eastAsia="Verdana" w:cs="Verdana"/>
          <w:lang w:val="nl-NL"/>
        </w:rPr>
        <w:t xml:space="preserve"> </w:t>
      </w:r>
      <w:r w:rsidR="000A5D2B" w:rsidRPr="00153B6C">
        <w:rPr>
          <w:rFonts w:eastAsia="Verdana" w:cs="Verdana"/>
          <w:lang w:val="nl-NL"/>
        </w:rPr>
        <w:t xml:space="preserve">Deze mogelijke vormen, die een versoepeling van de verslaggevingsplicht </w:t>
      </w:r>
      <w:r w:rsidR="000A5D2B">
        <w:rPr>
          <w:rFonts w:eastAsia="Verdana" w:cs="Verdana"/>
          <w:lang w:val="nl-NL"/>
        </w:rPr>
        <w:t>inhouden</w:t>
      </w:r>
      <w:r w:rsidR="000A5D2B" w:rsidRPr="00153B6C">
        <w:rPr>
          <w:rFonts w:eastAsia="Verdana" w:cs="Verdana"/>
          <w:lang w:val="nl-NL"/>
        </w:rPr>
        <w:t>, worden ook in de rechtsleer zo verdedigd.</w:t>
      </w:r>
      <w:r w:rsidR="00C146D0">
        <w:rPr>
          <w:rStyle w:val="Voetnootmarkering"/>
          <w:rFonts w:eastAsia="Verdana" w:cs="Verdana"/>
          <w:lang w:val="nl-NL"/>
        </w:rPr>
        <w:footnoteReference w:id="43"/>
      </w:r>
      <w:r w:rsidR="000A5D2B">
        <w:rPr>
          <w:rFonts w:eastAsia="Verdana" w:cs="Verdana"/>
          <w:lang w:val="nl-NL"/>
        </w:rPr>
        <w:t xml:space="preserve"> </w:t>
      </w:r>
    </w:p>
    <w:p w14:paraId="2FAB78E9" w14:textId="449C4542" w:rsidR="000A5D2B" w:rsidRPr="00184AFA" w:rsidRDefault="003B3CAF" w:rsidP="00184AFA">
      <w:pPr>
        <w:pStyle w:val="Kop3"/>
      </w:pPr>
      <w:r w:rsidRPr="00184AFA">
        <w:lastRenderedPageBreak/>
        <w:t>Digitaal of papier</w:t>
      </w:r>
    </w:p>
    <w:p w14:paraId="1AA5F214" w14:textId="77777777" w:rsidR="00325440" w:rsidRDefault="00404043" w:rsidP="00404043">
      <w:pPr>
        <w:numPr>
          <w:ilvl w:val="0"/>
          <w:numId w:val="11"/>
        </w:numPr>
        <w:ind w:left="0" w:firstLine="0"/>
        <w:contextualSpacing/>
        <w:jc w:val="both"/>
        <w:rPr>
          <w:rFonts w:eastAsia="Verdana" w:cstheme="minorHAnsi"/>
          <w:lang w:val="nl-NL"/>
        </w:rPr>
      </w:pPr>
      <w:r w:rsidRPr="00404043">
        <w:rPr>
          <w:rFonts w:eastAsia="Verdana" w:cstheme="minorHAnsi"/>
          <w:lang w:val="nl-NL"/>
        </w:rPr>
        <w:t xml:space="preserve">Op 1 juni 2021 werd het </w:t>
      </w:r>
      <w:r w:rsidRPr="00C146D0">
        <w:rPr>
          <w:rFonts w:eastAsia="Verdana" w:cstheme="minorHAnsi"/>
          <w:lang w:val="nl-NL"/>
        </w:rPr>
        <w:t>elektronisch bewindvoeringsdossier bij wet ingevoerd</w:t>
      </w:r>
      <w:r w:rsidRPr="00404043">
        <w:rPr>
          <w:rFonts w:eastAsia="Verdana" w:cstheme="minorHAnsi"/>
          <w:lang w:val="nl-NL"/>
        </w:rPr>
        <w:t>.</w:t>
      </w:r>
      <w:r w:rsidRPr="00404043">
        <w:rPr>
          <w:rStyle w:val="Voetnootmarkering"/>
          <w:rFonts w:eastAsia="Verdana" w:cstheme="minorHAnsi"/>
          <w:lang w:val="nl-NL"/>
        </w:rPr>
        <w:footnoteReference w:id="44"/>
      </w:r>
      <w:r w:rsidRPr="00404043">
        <w:rPr>
          <w:rFonts w:eastAsia="Verdana" w:cstheme="minorHAnsi"/>
          <w:lang w:val="nl-NL"/>
        </w:rPr>
        <w:t xml:space="preserve"> Omdat een digitale verslaggeving voor heel wat (oudere) ouders-bewindvoerders een uitdaging bleek, kunnen zij zelf kiezen of zij het jaarverslag op papier of elektronisch in het CRBP neerleggen.</w:t>
      </w:r>
      <w:r w:rsidRPr="00404043">
        <w:rPr>
          <w:rStyle w:val="Voetnootmarkering"/>
          <w:rFonts w:eastAsia="Verdana" w:cstheme="minorHAnsi"/>
          <w:lang w:val="nl-NL"/>
        </w:rPr>
        <w:footnoteReference w:id="45"/>
      </w:r>
      <w:r w:rsidR="00325440">
        <w:rPr>
          <w:rFonts w:eastAsia="Verdana" w:cstheme="minorHAnsi"/>
          <w:lang w:val="nl-NL"/>
        </w:rPr>
        <w:t xml:space="preserve"> </w:t>
      </w:r>
      <w:r w:rsidRPr="00325440">
        <w:rPr>
          <w:rFonts w:eastAsia="Verdana" w:cstheme="minorHAnsi"/>
          <w:lang w:val="nl-NL"/>
        </w:rPr>
        <w:t xml:space="preserve">De verslaggeving door ouders-bewindvoerders kan </w:t>
      </w:r>
      <w:r w:rsidR="00C146D0" w:rsidRPr="00325440">
        <w:rPr>
          <w:rFonts w:eastAsia="Verdana" w:cstheme="minorHAnsi"/>
          <w:lang w:val="nl-NL"/>
        </w:rPr>
        <w:t xml:space="preserve">dus </w:t>
      </w:r>
      <w:r w:rsidRPr="00325440">
        <w:rPr>
          <w:rFonts w:eastAsia="Verdana" w:cstheme="minorHAnsi"/>
          <w:lang w:val="nl-NL"/>
        </w:rPr>
        <w:t>zowel op papier als digitaal worden ingediend.</w:t>
      </w:r>
      <w:r w:rsidRPr="00404043">
        <w:rPr>
          <w:rFonts w:eastAsia="Verdana" w:cstheme="minorHAnsi"/>
          <w:vertAlign w:val="superscript"/>
          <w:lang w:val="nl-NL"/>
        </w:rPr>
        <w:footnoteReference w:id="46"/>
      </w:r>
      <w:r w:rsidRPr="00325440">
        <w:rPr>
          <w:rFonts w:eastAsia="Verdana" w:cstheme="minorHAnsi"/>
          <w:lang w:val="nl-NL"/>
        </w:rPr>
        <w:t xml:space="preserve"> </w:t>
      </w:r>
    </w:p>
    <w:p w14:paraId="461ACA35" w14:textId="77777777" w:rsidR="00325440" w:rsidRDefault="00325440" w:rsidP="00325440">
      <w:pPr>
        <w:contextualSpacing/>
        <w:jc w:val="both"/>
        <w:rPr>
          <w:rFonts w:eastAsia="Verdana" w:cstheme="minorHAnsi"/>
          <w:lang w:val="nl-NL"/>
        </w:rPr>
      </w:pPr>
    </w:p>
    <w:p w14:paraId="2A34CD81" w14:textId="717301FD" w:rsidR="00404043" w:rsidRPr="00325440" w:rsidRDefault="00404043" w:rsidP="00325440">
      <w:pPr>
        <w:contextualSpacing/>
        <w:jc w:val="both"/>
        <w:rPr>
          <w:rFonts w:eastAsia="Verdana" w:cstheme="minorHAnsi"/>
          <w:lang w:val="nl-NL"/>
        </w:rPr>
      </w:pPr>
      <w:r w:rsidRPr="00325440">
        <w:rPr>
          <w:rFonts w:eastAsia="Verdana" w:cstheme="minorHAnsi"/>
          <w:lang w:val="nl-NL"/>
        </w:rPr>
        <w:t>In de praktijk leidt een digitale indiening via het Centraal Register voor de Beschermde Persoon (hierna: CRBP) echter tot bijkomende verplichtingen.</w:t>
      </w:r>
      <w:r w:rsidR="00175197">
        <w:rPr>
          <w:rStyle w:val="Voetnootmarkering"/>
          <w:rFonts w:eastAsia="Verdana" w:cstheme="minorHAnsi"/>
          <w:lang w:val="nl-NL"/>
        </w:rPr>
        <w:footnoteReference w:id="47"/>
      </w:r>
      <w:r w:rsidRPr="00325440">
        <w:rPr>
          <w:rFonts w:eastAsia="Verdana" w:cstheme="minorHAnsi"/>
          <w:lang w:val="nl-NL"/>
        </w:rPr>
        <w:t xml:space="preserve"> Het CRBP vereist een gedetailleerde uitsplitsing van inkomsten en uitgaven die wettelijk noch via koninklijk modelverslag wordt opgelegd, wat vooral voor ouders-bewindvoerders zonder juridische of administratieve achtergrond een aanzienlijke belasting vormt. Waar digitalisering bedoeld is om processen te vereenvoudigen, zorgt </w:t>
      </w:r>
      <w:r w:rsidR="00471EA7">
        <w:rPr>
          <w:rFonts w:eastAsia="Verdana" w:cstheme="minorHAnsi"/>
          <w:lang w:val="nl-NL"/>
        </w:rPr>
        <w:t>ze</w:t>
      </w:r>
      <w:r w:rsidR="00471EA7" w:rsidRPr="00325440">
        <w:rPr>
          <w:rFonts w:eastAsia="Verdana" w:cstheme="minorHAnsi"/>
          <w:lang w:val="nl-NL"/>
        </w:rPr>
        <w:t xml:space="preserve"> </w:t>
      </w:r>
      <w:r w:rsidRPr="00325440">
        <w:rPr>
          <w:rFonts w:eastAsia="Verdana" w:cstheme="minorHAnsi"/>
          <w:lang w:val="nl-NL"/>
        </w:rPr>
        <w:t>bij ouderlijk bewind juist voor extra complexiteit en paradoxaal genoeg ook tot een teruggrijpen naar papieren verslaggeving.</w:t>
      </w:r>
    </w:p>
    <w:p w14:paraId="4B165D1E" w14:textId="77777777" w:rsidR="00404043" w:rsidRDefault="00404043" w:rsidP="00404043">
      <w:pPr>
        <w:contextualSpacing/>
        <w:jc w:val="both"/>
        <w:rPr>
          <w:rFonts w:eastAsia="Verdana" w:cstheme="minorHAnsi"/>
          <w:lang w:val="nl-NL"/>
        </w:rPr>
      </w:pPr>
    </w:p>
    <w:p w14:paraId="44670BC2" w14:textId="46BC9113" w:rsidR="00404043" w:rsidRPr="00404043" w:rsidRDefault="00404043" w:rsidP="00404043">
      <w:pPr>
        <w:contextualSpacing/>
        <w:jc w:val="both"/>
        <w:rPr>
          <w:rFonts w:eastAsia="Verdana" w:cstheme="minorHAnsi"/>
          <w:lang w:val="nl-NL"/>
        </w:rPr>
      </w:pPr>
      <w:r w:rsidRPr="00404043">
        <w:rPr>
          <w:rFonts w:eastAsia="Verdana" w:cstheme="minorHAnsi"/>
          <w:lang w:val="nl-NL"/>
        </w:rPr>
        <w:t>Naast deze wettelijke basisvermeldingen voorziet het CRBP in een bijkomend tabblad 7 ‘boekhouding’, waarin inkomsten en uitgaven per rekening moeten worden uitgesplitst over meerdere subcategorieën.</w:t>
      </w:r>
      <w:r w:rsidRPr="00404043">
        <w:rPr>
          <w:rStyle w:val="Voetnootmarkering"/>
          <w:rFonts w:eastAsia="Verdana" w:cstheme="minorHAnsi"/>
          <w:lang w:val="nl-NL"/>
        </w:rPr>
        <w:footnoteReference w:id="48"/>
      </w:r>
      <w:r w:rsidRPr="00404043">
        <w:rPr>
          <w:rFonts w:eastAsia="Verdana" w:cstheme="minorHAnsi"/>
          <w:lang w:val="nl-NL"/>
        </w:rPr>
        <w:t xml:space="preserve"> Hierin worden ook alle transfers tussen eigen rekeningen vermeld. De </w:t>
      </w:r>
      <w:r w:rsidRPr="00404043">
        <w:rPr>
          <w:rFonts w:eastAsia="Verdana" w:cstheme="minorHAnsi"/>
          <w:i/>
          <w:iCs/>
          <w:lang w:val="nl-NL"/>
        </w:rPr>
        <w:t>banklisting</w:t>
      </w:r>
      <w:r w:rsidRPr="00404043">
        <w:rPr>
          <w:rFonts w:eastAsia="Verdana" w:cstheme="minorHAnsi"/>
          <w:lang w:val="nl-NL"/>
        </w:rPr>
        <w:t xml:space="preserve"> moet dus manueel worden opgesplitst tussen inkomsten en uitgaven, niet chronologisch, maar per subcategorie. Deze bijkomende vereisten vinden geen steun in de wet (art. 499/14 oud BW) of in het KB van 29 juli 2019 en vormen in de praktijk dus een aanzienlijke bijkomende administratieve last voor ouders-bewindvoerders zonder boekhoudkundige achtergrond. Dit leidt tot een paradoxale situatie. Daar waar ouders-bewindvoerders het verslag digitaal mogen indienen via het CRBP, worden zij hier in de praktijk van weerhouden omwille van de complexiteit en de extra vereisten bij indiening via de digitale weg.</w:t>
      </w:r>
      <w:r w:rsidRPr="00404043">
        <w:rPr>
          <w:rStyle w:val="Voetnootmarkering"/>
          <w:rFonts w:eastAsia="Verdana" w:cstheme="minorHAnsi"/>
          <w:lang w:val="nl-NL"/>
        </w:rPr>
        <w:footnoteReference w:id="49"/>
      </w:r>
    </w:p>
    <w:p w14:paraId="5C70E9B8" w14:textId="77777777" w:rsidR="00404043" w:rsidRDefault="00404043" w:rsidP="00404043">
      <w:pPr>
        <w:contextualSpacing/>
        <w:jc w:val="both"/>
        <w:rPr>
          <w:rFonts w:eastAsia="Verdana" w:cs="Verdana"/>
          <w:lang w:val="nl-NL"/>
        </w:rPr>
      </w:pPr>
    </w:p>
    <w:p w14:paraId="4E5CA1DB" w14:textId="77777777" w:rsidR="00404043" w:rsidRDefault="000A5D2B" w:rsidP="00404043">
      <w:pPr>
        <w:numPr>
          <w:ilvl w:val="0"/>
          <w:numId w:val="11"/>
        </w:numPr>
        <w:ind w:left="0" w:firstLine="0"/>
        <w:contextualSpacing/>
        <w:jc w:val="both"/>
        <w:rPr>
          <w:rFonts w:eastAsia="Verdana" w:cs="Verdana"/>
          <w:lang w:val="nl-NL"/>
        </w:rPr>
      </w:pPr>
      <w:r>
        <w:rPr>
          <w:rFonts w:eastAsia="Verdana" w:cs="Verdana"/>
          <w:lang w:val="nl-NL"/>
        </w:rPr>
        <w:t xml:space="preserve">Hoewel de vrederechter vereenvoudigde verslaggeving </w:t>
      </w:r>
      <w:r w:rsidR="00404043">
        <w:rPr>
          <w:rFonts w:eastAsia="Verdana" w:cs="Verdana"/>
          <w:lang w:val="nl-NL"/>
        </w:rPr>
        <w:t>kan toestaan</w:t>
      </w:r>
      <w:r>
        <w:rPr>
          <w:rFonts w:eastAsia="Verdana" w:cs="Verdana"/>
          <w:lang w:val="nl-NL"/>
        </w:rPr>
        <w:t xml:space="preserve">, zal deze beslissing praktisch </w:t>
      </w:r>
      <w:r w:rsidR="00404043">
        <w:rPr>
          <w:rFonts w:eastAsia="Verdana" w:cs="Verdana"/>
          <w:lang w:val="nl-NL"/>
        </w:rPr>
        <w:t xml:space="preserve">dus </w:t>
      </w:r>
      <w:r>
        <w:rPr>
          <w:rFonts w:eastAsia="Verdana" w:cs="Verdana"/>
          <w:lang w:val="nl-NL"/>
        </w:rPr>
        <w:t xml:space="preserve">moeilijk uitvoerbaar zijn. </w:t>
      </w:r>
      <w:r w:rsidR="00404043">
        <w:rPr>
          <w:rFonts w:eastAsia="Verdana" w:cs="Verdana"/>
          <w:lang w:val="nl-NL"/>
        </w:rPr>
        <w:t>Het</w:t>
      </w:r>
      <w:r w:rsidRPr="00EE0C1D">
        <w:rPr>
          <w:rFonts w:eastAsia="Verdana" w:cs="Verdana"/>
          <w:lang w:val="nl-NL"/>
        </w:rPr>
        <w:t xml:space="preserve"> digitale register vereist immers dat alle open velden volledig worden ingevuld, zo niet ontstaan er rode velden en krijgen de meeste ouders-bewindvoerders een aansporing om deze rode velden in de toekomst te vermijden. </w:t>
      </w:r>
    </w:p>
    <w:p w14:paraId="528A0B74" w14:textId="77777777" w:rsidR="00404043" w:rsidRDefault="00404043" w:rsidP="00404043">
      <w:pPr>
        <w:contextualSpacing/>
        <w:jc w:val="both"/>
        <w:rPr>
          <w:rFonts w:eastAsia="Verdana" w:cs="Verdana"/>
          <w:lang w:val="nl-NL"/>
        </w:rPr>
      </w:pPr>
    </w:p>
    <w:p w14:paraId="74FCD817" w14:textId="64203979" w:rsidR="000A5D2B" w:rsidRDefault="000A5D2B" w:rsidP="00404043">
      <w:pPr>
        <w:contextualSpacing/>
        <w:jc w:val="both"/>
        <w:rPr>
          <w:rFonts w:eastAsia="Verdana" w:cs="Verdana"/>
          <w:lang w:val="nl-NL"/>
        </w:rPr>
      </w:pPr>
      <w:r>
        <w:rPr>
          <w:rFonts w:eastAsia="Verdana" w:cs="Verdana"/>
          <w:lang w:val="nl-NL"/>
        </w:rPr>
        <w:lastRenderedPageBreak/>
        <w:t>Zelfs wanneer vrederechter</w:t>
      </w:r>
      <w:r w:rsidR="00164042">
        <w:rPr>
          <w:rFonts w:eastAsia="Verdana" w:cs="Verdana"/>
          <w:lang w:val="nl-NL"/>
        </w:rPr>
        <w:t>s</w:t>
      </w:r>
      <w:r>
        <w:rPr>
          <w:rFonts w:eastAsia="Verdana" w:cs="Verdana"/>
          <w:lang w:val="nl-NL"/>
        </w:rPr>
        <w:t xml:space="preserve"> soepel omgaan met de verslaggevingsverplichting</w:t>
      </w:r>
      <w:r w:rsidRPr="00EE0C1D">
        <w:rPr>
          <w:rFonts w:eastAsia="Verdana" w:cs="Verdana"/>
          <w:lang w:val="nl-NL"/>
        </w:rPr>
        <w:t xml:space="preserve">, </w:t>
      </w:r>
      <w:r>
        <w:rPr>
          <w:rFonts w:eastAsia="Verdana" w:cs="Verdana"/>
          <w:lang w:val="nl-NL"/>
        </w:rPr>
        <w:t>verhindert het systeem een vlotte toepassing</w:t>
      </w:r>
      <w:r w:rsidRPr="00EE0C1D">
        <w:rPr>
          <w:rFonts w:eastAsia="Verdana" w:cs="Verdana"/>
          <w:lang w:val="nl-NL"/>
        </w:rPr>
        <w:t>.</w:t>
      </w:r>
      <w:r w:rsidRPr="00EE0C1D">
        <w:rPr>
          <w:rStyle w:val="Voetnootmarkering"/>
          <w:rFonts w:eastAsia="Verdana" w:cs="Verdana"/>
          <w:lang w:val="nl-NL"/>
        </w:rPr>
        <w:footnoteReference w:id="50"/>
      </w:r>
      <w:r w:rsidRPr="00EE0C1D">
        <w:rPr>
          <w:rFonts w:eastAsia="Verdana" w:cs="Verdana"/>
          <w:lang w:val="nl-NL"/>
        </w:rPr>
        <w:t xml:space="preserve"> </w:t>
      </w:r>
      <w:r>
        <w:rPr>
          <w:rFonts w:eastAsia="Verdana" w:cs="Verdana"/>
          <w:lang w:val="nl-NL"/>
        </w:rPr>
        <w:t xml:space="preserve">Artikel 500/2 oud BW </w:t>
      </w:r>
      <w:r w:rsidR="00783328">
        <w:rPr>
          <w:rFonts w:eastAsia="Verdana" w:cs="Verdana"/>
          <w:lang w:val="nl-NL"/>
        </w:rPr>
        <w:t xml:space="preserve">is </w:t>
      </w:r>
      <w:r>
        <w:rPr>
          <w:rFonts w:eastAsia="Verdana" w:cs="Verdana"/>
          <w:lang w:val="nl-NL"/>
        </w:rPr>
        <w:t>in de praktijk dus nauwelijks werkbaar</w:t>
      </w:r>
      <w:r w:rsidRPr="00EE0C1D">
        <w:rPr>
          <w:rFonts w:eastAsia="Verdana" w:cs="Verdana"/>
          <w:lang w:val="nl-NL"/>
        </w:rPr>
        <w:t xml:space="preserve">. </w:t>
      </w:r>
      <w:r>
        <w:rPr>
          <w:rFonts w:eastAsia="Verdana" w:cs="Verdana"/>
          <w:lang w:val="nl-NL"/>
        </w:rPr>
        <w:t>Een aanpassing van het systeem is noodzakelijk om</w:t>
      </w:r>
      <w:r w:rsidRPr="00EE0C1D">
        <w:rPr>
          <w:rFonts w:eastAsia="Verdana" w:cs="Verdana"/>
          <w:lang w:val="nl-NL"/>
        </w:rPr>
        <w:t xml:space="preserve"> ouders-bewindvoerders ook elektronisch </w:t>
      </w:r>
      <w:r>
        <w:rPr>
          <w:rFonts w:eastAsia="Verdana" w:cs="Verdana"/>
          <w:lang w:val="nl-NL"/>
        </w:rPr>
        <w:t>te laten voldoen aan hun vereenvoudigde verslaggevingsverplichting</w:t>
      </w:r>
      <w:r w:rsidRPr="00EE0C1D">
        <w:rPr>
          <w:rFonts w:eastAsia="Verdana" w:cs="Verdana"/>
          <w:lang w:val="nl-NL"/>
        </w:rPr>
        <w:t>.</w:t>
      </w:r>
    </w:p>
    <w:p w14:paraId="36376AB6" w14:textId="77777777" w:rsidR="00404043" w:rsidRPr="00EE0C1D" w:rsidRDefault="00404043" w:rsidP="00404043">
      <w:pPr>
        <w:contextualSpacing/>
        <w:jc w:val="both"/>
        <w:rPr>
          <w:rFonts w:eastAsia="Verdana" w:cs="Verdana"/>
          <w:lang w:val="nl-NL"/>
        </w:rPr>
      </w:pPr>
    </w:p>
    <w:p w14:paraId="2BCD3011" w14:textId="4349CCD2" w:rsidR="00122C8C" w:rsidRPr="00404043" w:rsidRDefault="00122C8C" w:rsidP="00404043">
      <w:pPr>
        <w:numPr>
          <w:ilvl w:val="0"/>
          <w:numId w:val="11"/>
        </w:numPr>
        <w:ind w:left="0" w:firstLine="0"/>
        <w:contextualSpacing/>
        <w:jc w:val="both"/>
        <w:rPr>
          <w:rFonts w:eastAsia="Verdana" w:cstheme="minorHAnsi"/>
          <w:lang w:val="nl-NL"/>
        </w:rPr>
      </w:pPr>
      <w:r w:rsidRPr="00404043">
        <w:rPr>
          <w:rFonts w:eastAsia="Verdana" w:cstheme="minorHAnsi"/>
          <w:lang w:val="nl-NL"/>
        </w:rPr>
        <w:t>De</w:t>
      </w:r>
      <w:r w:rsidR="00404043" w:rsidRPr="00404043">
        <w:rPr>
          <w:rFonts w:eastAsia="Verdana" w:cstheme="minorHAnsi"/>
          <w:lang w:val="nl-NL"/>
        </w:rPr>
        <w:t>ze</w:t>
      </w:r>
      <w:r w:rsidRPr="00404043">
        <w:rPr>
          <w:rFonts w:eastAsia="Verdana" w:cstheme="minorHAnsi"/>
          <w:lang w:val="nl-NL"/>
        </w:rPr>
        <w:t xml:space="preserve"> spanning tussen formele verplichtingen en pragmatische flexibiliteit vormt een terugkerend thema in de (recente) rechtspraak</w:t>
      </w:r>
      <w:r w:rsidRPr="00404043">
        <w:rPr>
          <w:rFonts w:cstheme="minorHAnsi"/>
        </w:rPr>
        <w:t>.</w:t>
      </w:r>
      <w:r w:rsidRPr="00404043">
        <w:rPr>
          <w:rStyle w:val="Voetnootmarkering"/>
          <w:rFonts w:cstheme="minorHAnsi"/>
        </w:rPr>
        <w:footnoteReference w:id="51"/>
      </w:r>
      <w:r w:rsidRPr="00404043">
        <w:rPr>
          <w:rFonts w:cstheme="minorHAnsi"/>
        </w:rPr>
        <w:t xml:space="preserve"> In de beschikking van de </w:t>
      </w:r>
      <w:r w:rsidRPr="00184AFA">
        <w:rPr>
          <w:rFonts w:cstheme="minorHAnsi"/>
        </w:rPr>
        <w:t>vrederechter van het eerste kanton Brugge</w:t>
      </w:r>
      <w:r w:rsidRPr="00325440">
        <w:rPr>
          <w:rFonts w:cstheme="minorHAnsi"/>
          <w:i/>
          <w:iCs/>
        </w:rPr>
        <w:t xml:space="preserve"> </w:t>
      </w:r>
      <w:r w:rsidRPr="00325440">
        <w:rPr>
          <w:rFonts w:cstheme="minorHAnsi"/>
        </w:rPr>
        <w:t>van 25 september 2024</w:t>
      </w:r>
      <w:r w:rsidRPr="00404043">
        <w:rPr>
          <w:rFonts w:cstheme="minorHAnsi"/>
        </w:rPr>
        <w:t xml:space="preserve"> werd </w:t>
      </w:r>
      <w:r w:rsidR="006F45AD">
        <w:rPr>
          <w:rFonts w:cstheme="minorHAnsi"/>
        </w:rPr>
        <w:t>al</w:t>
      </w:r>
      <w:r w:rsidR="006F45AD" w:rsidRPr="00404043">
        <w:rPr>
          <w:rFonts w:cstheme="minorHAnsi"/>
        </w:rPr>
        <w:t xml:space="preserve"> </w:t>
      </w:r>
      <w:r w:rsidRPr="00404043">
        <w:rPr>
          <w:rFonts w:cstheme="minorHAnsi"/>
        </w:rPr>
        <w:t>ingegaan op de mogelijkheid om af te wijken van de standaard verslaggevingsverplichting voor ouders-bewindvoerders.</w:t>
      </w:r>
      <w:r w:rsidRPr="00404043">
        <w:rPr>
          <w:rStyle w:val="Voetnootmarkering"/>
          <w:rFonts w:eastAsia="Verdana" w:cstheme="minorHAnsi"/>
          <w:lang w:val="nl-NL"/>
        </w:rPr>
        <w:footnoteReference w:id="52"/>
      </w:r>
      <w:r w:rsidRPr="00404043">
        <w:rPr>
          <w:rFonts w:cstheme="minorHAnsi"/>
        </w:rPr>
        <w:t xml:space="preserve"> Daar koos de vrederechter voor een evenwichtige oplossing: het toelaten van een vereenvoudigd verslag mits gebruik van het CRBP, waarbij het tabblad 7 ‘boekhouding’ met gedetailleerde inkomsten en uitgaven mocht worden weggelaten. De rechterlijke beoordeling berustte daar op een praktische inschatting van de draagkracht van de bewindvoerders, eerder dan op een expliciete motivering van hun betrouwbaarheid of bijzondere omstandigheden. Bovendien werd hier geen melding gemaakt van de extra vereisten van het CRBP bij digitale verslaggeving, maar was een digitale indiening wel vereist voor het toekennen van de vereenvoudigde verslaggeving door de ouders-bewindvoerders.</w:t>
      </w:r>
      <w:r w:rsidRPr="00404043">
        <w:rPr>
          <w:rStyle w:val="Voetnootmarkering"/>
          <w:rFonts w:cstheme="minorHAnsi"/>
        </w:rPr>
        <w:footnoteReference w:id="53"/>
      </w:r>
      <w:r w:rsidRPr="00404043">
        <w:rPr>
          <w:rFonts w:cstheme="minorHAnsi"/>
        </w:rPr>
        <w:t xml:space="preserve"> </w:t>
      </w:r>
    </w:p>
    <w:p w14:paraId="79B9BC50" w14:textId="1149AC28" w:rsidR="00122C8C" w:rsidRPr="00404043" w:rsidRDefault="00404043" w:rsidP="00404043">
      <w:pPr>
        <w:spacing w:before="200"/>
        <w:jc w:val="both"/>
        <w:rPr>
          <w:rFonts w:eastAsia="Verdana" w:cstheme="minorHAnsi"/>
          <w:lang w:val="nl-NL"/>
        </w:rPr>
      </w:pPr>
      <w:r w:rsidRPr="00C146D0">
        <w:rPr>
          <w:rFonts w:cstheme="minorHAnsi"/>
        </w:rPr>
        <w:t>In de beschikking van de</w:t>
      </w:r>
      <w:r w:rsidRPr="00404043">
        <w:rPr>
          <w:rFonts w:cstheme="minorHAnsi"/>
          <w:i/>
          <w:iCs/>
        </w:rPr>
        <w:t xml:space="preserve"> </w:t>
      </w:r>
      <w:r w:rsidRPr="00184AFA">
        <w:rPr>
          <w:rFonts w:cstheme="minorHAnsi"/>
        </w:rPr>
        <w:t>vrederechter van Torhout</w:t>
      </w:r>
      <w:r w:rsidRPr="00325440">
        <w:rPr>
          <w:rFonts w:cstheme="minorHAnsi"/>
          <w:i/>
          <w:iCs/>
        </w:rPr>
        <w:t xml:space="preserve"> </w:t>
      </w:r>
      <w:r w:rsidRPr="00325440">
        <w:rPr>
          <w:rFonts w:cstheme="minorHAnsi"/>
        </w:rPr>
        <w:t>van 15 mei 2025</w:t>
      </w:r>
      <w:r w:rsidR="00122C8C" w:rsidRPr="00404043">
        <w:rPr>
          <w:rFonts w:cstheme="minorHAnsi"/>
        </w:rPr>
        <w:t xml:space="preserve"> </w:t>
      </w:r>
      <w:r w:rsidRPr="00404043">
        <w:rPr>
          <w:rFonts w:cstheme="minorHAnsi"/>
        </w:rPr>
        <w:t>werd</w:t>
      </w:r>
      <w:r w:rsidR="00122C8C" w:rsidRPr="00404043">
        <w:rPr>
          <w:rFonts w:cstheme="minorHAnsi"/>
        </w:rPr>
        <w:t xml:space="preserve"> deze pragmatische lijn verder doorgetrokken maar </w:t>
      </w:r>
      <w:r w:rsidRPr="00404043">
        <w:rPr>
          <w:rFonts w:cstheme="minorHAnsi"/>
        </w:rPr>
        <w:t>werd</w:t>
      </w:r>
      <w:r w:rsidR="00122C8C" w:rsidRPr="00404043">
        <w:rPr>
          <w:rFonts w:cstheme="minorHAnsi"/>
        </w:rPr>
        <w:t xml:space="preserve"> ook de structurele spanning tussen het wettelijk kader en de digitale praktijk scherp blootgelegd.</w:t>
      </w:r>
      <w:r w:rsidRPr="00404043">
        <w:rPr>
          <w:rStyle w:val="Voetnootmarkering"/>
          <w:rFonts w:cstheme="minorHAnsi"/>
        </w:rPr>
        <w:footnoteReference w:id="54"/>
      </w:r>
      <w:r w:rsidR="00122C8C" w:rsidRPr="00404043">
        <w:rPr>
          <w:rFonts w:cstheme="minorHAnsi"/>
        </w:rPr>
        <w:t xml:space="preserve"> De vrederechter merkt</w:t>
      </w:r>
      <w:r w:rsidRPr="00404043">
        <w:rPr>
          <w:rFonts w:cstheme="minorHAnsi"/>
        </w:rPr>
        <w:t>e</w:t>
      </w:r>
      <w:r w:rsidR="00122C8C" w:rsidRPr="00404043">
        <w:rPr>
          <w:rFonts w:cstheme="minorHAnsi"/>
        </w:rPr>
        <w:t xml:space="preserve"> op dat het CRBP in zijn verslaggevingsvereisten namelijk verder gaat dan wat de wet en het modelverslag bij KB voorschrijven. Waar digitalisering bedoeld is als efficiëntie-instrument, wordt het voor ouders-bewindvoerders net een bijkomende barrière. De papieren optie, die volledig conform het wettelijk</w:t>
      </w:r>
      <w:r w:rsidR="001B5C84">
        <w:rPr>
          <w:rFonts w:cstheme="minorHAnsi"/>
        </w:rPr>
        <w:t>e</w:t>
      </w:r>
      <w:r w:rsidR="00122C8C" w:rsidRPr="00404043">
        <w:rPr>
          <w:rFonts w:cstheme="minorHAnsi"/>
        </w:rPr>
        <w:t xml:space="preserve"> minimum</w:t>
      </w:r>
      <w:r w:rsidR="001B5C84">
        <w:rPr>
          <w:rFonts w:cstheme="minorHAnsi"/>
        </w:rPr>
        <w:t xml:space="preserve"> is</w:t>
      </w:r>
      <w:r w:rsidR="00122C8C" w:rsidRPr="00404043">
        <w:rPr>
          <w:rFonts w:cstheme="minorHAnsi"/>
        </w:rPr>
        <w:t>, blijkt voor velen eenvoudiger dan het digital</w:t>
      </w:r>
      <w:r w:rsidR="001B5C84">
        <w:rPr>
          <w:rFonts w:cstheme="minorHAnsi"/>
        </w:rPr>
        <w:t>e</w:t>
      </w:r>
      <w:r w:rsidR="00122C8C" w:rsidRPr="00404043">
        <w:rPr>
          <w:rFonts w:cstheme="minorHAnsi"/>
        </w:rPr>
        <w:t xml:space="preserve"> alternatief. In dat licht moet de beslissing van de vrederechter van Torhout ook worden begrepen. Door het tabblad 7 ‘boekhouding’ buiten toepassing te verklaren, wordt aan de ouders-bewindvoerders de mogelijkheid geboden om gebruik te maken van het digitale register zonder bijkomende administratieve lasten die geen wettelijke grondslag hebben.</w:t>
      </w:r>
    </w:p>
    <w:p w14:paraId="2C7CEDB7" w14:textId="1C56CB58" w:rsidR="00122C8C" w:rsidRPr="00184AFA" w:rsidRDefault="00122C8C" w:rsidP="00184AFA">
      <w:pPr>
        <w:pStyle w:val="Kop3"/>
      </w:pPr>
      <w:r w:rsidRPr="00184AFA">
        <w:t>Controletaak vrederechter</w:t>
      </w:r>
    </w:p>
    <w:p w14:paraId="2D37277C" w14:textId="6983FA2A" w:rsidR="00404043" w:rsidRPr="00C146D0" w:rsidRDefault="00122C8C" w:rsidP="00C146D0">
      <w:pPr>
        <w:numPr>
          <w:ilvl w:val="0"/>
          <w:numId w:val="11"/>
        </w:numPr>
        <w:ind w:left="0" w:firstLine="0"/>
        <w:jc w:val="both"/>
        <w:rPr>
          <w:rFonts w:eastAsia="Verdana" w:cstheme="minorHAnsi"/>
          <w:lang w:val="nl-NL"/>
        </w:rPr>
      </w:pPr>
      <w:r w:rsidRPr="00404043">
        <w:rPr>
          <w:rFonts w:cstheme="minorHAnsi"/>
          <w:lang w:val="nl-NL"/>
        </w:rPr>
        <w:t xml:space="preserve">Hoewel de wetgever de mogelijkheid heeft </w:t>
      </w:r>
      <w:r w:rsidR="00325440">
        <w:rPr>
          <w:rFonts w:cstheme="minorHAnsi"/>
          <w:lang w:val="nl-NL"/>
        </w:rPr>
        <w:t>gecreëerd</w:t>
      </w:r>
      <w:r w:rsidRPr="00404043">
        <w:rPr>
          <w:rFonts w:cstheme="minorHAnsi"/>
          <w:lang w:val="nl-NL"/>
        </w:rPr>
        <w:t xml:space="preserve"> om een vereenvoudigde verslaggeving toe te kennen aan ouders-bewindvoerders, wordt deze vereenvoudiging in de praktijk niet vaak toegepast.</w:t>
      </w:r>
      <w:r w:rsidRPr="00404043">
        <w:rPr>
          <w:rFonts w:cstheme="minorHAnsi"/>
          <w:vertAlign w:val="superscript"/>
          <w:lang w:val="nl-NL"/>
        </w:rPr>
        <w:footnoteReference w:id="55"/>
      </w:r>
      <w:r w:rsidRPr="00404043">
        <w:rPr>
          <w:rFonts w:cstheme="minorHAnsi"/>
          <w:lang w:val="nl-NL"/>
        </w:rPr>
        <w:t xml:space="preserve"> </w:t>
      </w:r>
      <w:r w:rsidRPr="00404043">
        <w:rPr>
          <w:rFonts w:cstheme="minorHAnsi"/>
        </w:rPr>
        <w:t xml:space="preserve">Naast bovenstaande praktische overwegingen inzake het al dan niet digitaal indienen van het verslag, wordt in de praktijk ook bijzonder belang gehecht aan de controletaak van de vrederechter. Deze controletaak leidt er in veel gevallen toe dat er </w:t>
      </w:r>
      <w:r w:rsidRPr="00404043">
        <w:rPr>
          <w:rFonts w:cstheme="minorHAnsi"/>
          <w:i/>
          <w:iCs/>
        </w:rPr>
        <w:t>geen</w:t>
      </w:r>
      <w:r w:rsidRPr="00404043">
        <w:rPr>
          <w:rFonts w:cstheme="minorHAnsi"/>
        </w:rPr>
        <w:t xml:space="preserve"> vereenvoudigde verslaggeving voor ouders-bewindvoerders wordt toegestaan.</w:t>
      </w:r>
    </w:p>
    <w:p w14:paraId="06E5788C" w14:textId="77777777" w:rsidR="00C146D0" w:rsidRPr="00404043" w:rsidRDefault="00C146D0" w:rsidP="00C146D0">
      <w:pPr>
        <w:jc w:val="both"/>
        <w:rPr>
          <w:rFonts w:eastAsia="Verdana" w:cstheme="minorHAnsi"/>
          <w:lang w:val="nl-NL"/>
        </w:rPr>
      </w:pPr>
    </w:p>
    <w:p w14:paraId="3976953F" w14:textId="525E3B6B" w:rsidR="00404043" w:rsidRPr="00C146D0" w:rsidRDefault="00122C8C" w:rsidP="00C146D0">
      <w:pPr>
        <w:numPr>
          <w:ilvl w:val="0"/>
          <w:numId w:val="11"/>
        </w:numPr>
        <w:ind w:left="0" w:firstLine="0"/>
        <w:jc w:val="both"/>
        <w:rPr>
          <w:rFonts w:eastAsia="Verdana" w:cstheme="minorHAnsi"/>
          <w:lang w:val="nl-NL"/>
        </w:rPr>
      </w:pPr>
      <w:r w:rsidRPr="00404043">
        <w:rPr>
          <w:rFonts w:cstheme="minorHAnsi"/>
        </w:rPr>
        <w:t xml:space="preserve">De </w:t>
      </w:r>
      <w:r w:rsidRPr="00184AFA">
        <w:rPr>
          <w:rFonts w:cstheme="minorHAnsi"/>
        </w:rPr>
        <w:t xml:space="preserve">vrederechter van </w:t>
      </w:r>
      <w:r w:rsidR="000B0E9C">
        <w:rPr>
          <w:rFonts w:cstheme="minorHAnsi"/>
        </w:rPr>
        <w:t xml:space="preserve">het kanton </w:t>
      </w:r>
      <w:r w:rsidRPr="00184AFA">
        <w:rPr>
          <w:rFonts w:cstheme="minorHAnsi"/>
        </w:rPr>
        <w:t>Poperinge</w:t>
      </w:r>
      <w:r w:rsidRPr="00404043">
        <w:rPr>
          <w:rFonts w:cstheme="minorHAnsi"/>
        </w:rPr>
        <w:t xml:space="preserve"> oordeelde op 5 maart 2024</w:t>
      </w:r>
      <w:r w:rsidRPr="00404043">
        <w:rPr>
          <w:rStyle w:val="Voetnootmarkering"/>
          <w:rFonts w:cstheme="minorHAnsi"/>
        </w:rPr>
        <w:footnoteReference w:id="56"/>
      </w:r>
      <w:r w:rsidRPr="00404043">
        <w:rPr>
          <w:rFonts w:cstheme="minorHAnsi"/>
        </w:rPr>
        <w:t xml:space="preserve"> dat het verzoek om ‘Tabblad 7’ niet te moeten invullen als ouder-bewindvoerder ongegrond is. Door de ouder-bewindvoerder werd aangevoerd dat deze gegevens </w:t>
      </w:r>
      <w:r w:rsidR="005212BB" w:rsidRPr="00404043">
        <w:rPr>
          <w:rFonts w:cstheme="minorHAnsi"/>
        </w:rPr>
        <w:t>al</w:t>
      </w:r>
      <w:r w:rsidRPr="00404043">
        <w:rPr>
          <w:rFonts w:cstheme="minorHAnsi"/>
        </w:rPr>
        <w:t xml:space="preserve"> vervat zijn in de bijgevoegde rekeninguittreksels. De vrederechter volgde dit standpunt niet en motiveerde dat deze grond geen aanleiding gaf om een vereenvoudigde boekhouding toe te staan. De staat van inkomsten en uitgaven biedt zowel voor de vrederechter als voor de bewindvoerder zelf een duidelijk overzicht van het financiële verloop, wat van belang is met het oog op de bescherming van het belang van de beschermde persoon.</w:t>
      </w:r>
    </w:p>
    <w:p w14:paraId="537E20DF" w14:textId="77777777" w:rsidR="00C146D0" w:rsidRPr="00404043" w:rsidRDefault="00C146D0" w:rsidP="00C146D0">
      <w:pPr>
        <w:jc w:val="both"/>
        <w:rPr>
          <w:rFonts w:eastAsia="Verdana" w:cstheme="minorHAnsi"/>
          <w:lang w:val="nl-NL"/>
        </w:rPr>
      </w:pPr>
    </w:p>
    <w:p w14:paraId="5D024C41" w14:textId="04316D10" w:rsidR="006F7B6A" w:rsidRDefault="00122C8C" w:rsidP="00C146D0">
      <w:pPr>
        <w:jc w:val="both"/>
        <w:rPr>
          <w:rFonts w:cstheme="minorHAnsi"/>
        </w:rPr>
      </w:pPr>
      <w:r w:rsidRPr="00404043">
        <w:rPr>
          <w:rFonts w:cstheme="minorHAnsi"/>
        </w:rPr>
        <w:t xml:space="preserve">In dezelfde zin oordeelde de </w:t>
      </w:r>
      <w:r w:rsidRPr="00184AFA">
        <w:rPr>
          <w:rFonts w:cstheme="minorHAnsi"/>
        </w:rPr>
        <w:t>vrederechter van het derde kanton Brugge</w:t>
      </w:r>
      <w:r w:rsidRPr="00404043">
        <w:rPr>
          <w:rFonts w:cstheme="minorHAnsi"/>
          <w:i/>
          <w:iCs/>
        </w:rPr>
        <w:t xml:space="preserve"> </w:t>
      </w:r>
      <w:r w:rsidRPr="00404043">
        <w:rPr>
          <w:rFonts w:cstheme="minorHAnsi"/>
        </w:rPr>
        <w:t>op 12 maart 2025</w:t>
      </w:r>
      <w:r w:rsidRPr="00404043">
        <w:rPr>
          <w:rStyle w:val="Voetnootmarkering"/>
          <w:rFonts w:cstheme="minorHAnsi"/>
        </w:rPr>
        <w:footnoteReference w:id="57"/>
      </w:r>
      <w:r w:rsidRPr="00404043">
        <w:rPr>
          <w:rFonts w:cstheme="minorHAnsi"/>
        </w:rPr>
        <w:t xml:space="preserve"> dat een vereenvoudigde verslaggeving op langere termijn de controle- en toezichtstaak van de vrederechter belemmert. Een jaar wordt </w:t>
      </w:r>
      <w:r w:rsidR="005212BB" w:rsidRPr="00404043">
        <w:rPr>
          <w:rFonts w:cstheme="minorHAnsi"/>
        </w:rPr>
        <w:t>al</w:t>
      </w:r>
      <w:r w:rsidRPr="00404043">
        <w:rPr>
          <w:rFonts w:cstheme="minorHAnsi"/>
        </w:rPr>
        <w:t xml:space="preserve"> beschouwd als een ruime termijn om eventuele problemen of tekortkomingen in het beheer te detecteren. Het feit dat het bewind in het verleden correct werd uitgevoerd, biedt geen waarborg voor eenzelfde correct verloop in de toekomst. Bovendien draagt een nauwkeurige en volledige verslaggeving bij aan het vertrouwen van de rechtbank in de wijze waarop een ouder-bewindvoerder zijn of haar mandaat uitoefent. Om die reden werd het verzoek tot vereenvoudigde verslaggeving ongegrond verklaard.</w:t>
      </w:r>
    </w:p>
    <w:p w14:paraId="6CEF20D1" w14:textId="77777777" w:rsidR="00C146D0" w:rsidRPr="006F7B6A" w:rsidRDefault="00C146D0" w:rsidP="00C146D0">
      <w:pPr>
        <w:jc w:val="both"/>
        <w:rPr>
          <w:rFonts w:cstheme="minorHAnsi"/>
        </w:rPr>
      </w:pPr>
    </w:p>
    <w:p w14:paraId="025EBD56" w14:textId="515808C1" w:rsidR="00C146D0" w:rsidRPr="00C146D0" w:rsidRDefault="00122C8C" w:rsidP="00C146D0">
      <w:pPr>
        <w:jc w:val="both"/>
        <w:rPr>
          <w:rFonts w:eastAsia="Verdana" w:cstheme="minorHAnsi"/>
          <w:lang w:val="nl-NL"/>
        </w:rPr>
      </w:pPr>
      <w:r w:rsidRPr="00404043">
        <w:rPr>
          <w:rFonts w:cstheme="minorHAnsi"/>
        </w:rPr>
        <w:t xml:space="preserve">De </w:t>
      </w:r>
      <w:r w:rsidRPr="00184AFA">
        <w:rPr>
          <w:rFonts w:cstheme="minorHAnsi"/>
        </w:rPr>
        <w:t>vrederechter van het vierde kanton Brugge</w:t>
      </w:r>
      <w:r w:rsidRPr="00404043">
        <w:rPr>
          <w:rFonts w:cstheme="minorHAnsi"/>
          <w:b/>
          <w:bCs/>
        </w:rPr>
        <w:t xml:space="preserve"> </w:t>
      </w:r>
      <w:r w:rsidRPr="00404043">
        <w:rPr>
          <w:rFonts w:cstheme="minorHAnsi"/>
        </w:rPr>
        <w:t>oordeelde op 9 mei 2025</w:t>
      </w:r>
      <w:r w:rsidRPr="00404043">
        <w:rPr>
          <w:rStyle w:val="Voetnootmarkering"/>
          <w:rFonts w:cstheme="minorHAnsi"/>
        </w:rPr>
        <w:footnoteReference w:id="58"/>
      </w:r>
      <w:r w:rsidRPr="00404043">
        <w:rPr>
          <w:rFonts w:cstheme="minorHAnsi"/>
        </w:rPr>
        <w:t xml:space="preserve"> dat het verzoek van de ouders-bewindvoerders tot vrijstelling dan wel vereenvoudiging van de jaarlijkse verslaggevingsplicht ongegrond is. Deze ouders-bewindvoerders vroegen slechts verslag te moeten uitbrengen wanneer zich significante wijzigingen zouden voordoen in de situatie van de beschermde persoon (bv. verhuizing, wijziging van de gezondheidstoestand of wijziging van de inkomenspositie). In ondergeschikte orde vroegen de ouders-bewindvoerders een toepassing van artikel 500/2 oud BW, zodat het verslag beperkt zou blijven tot de vermelding van de rekeningstanden bij het begin en einde van de verslagperiode, gestaafd met een rekeninguittreksel. Bijkomend vroegen de ouders-bewindvoerders om soepelere modaliteiten voor de rapportering over spaarrekeningen en (her)beleggingen, gelet op hun dagelijkse zorgen voor hun zoon en het vertrouwen dat in hen mag worden gesteld. </w:t>
      </w:r>
      <w:r w:rsidRPr="00404043">
        <w:rPr>
          <w:rFonts w:cstheme="minorHAnsi"/>
          <w:i/>
          <w:iCs/>
        </w:rPr>
        <w:t>In casu</w:t>
      </w:r>
      <w:r w:rsidRPr="00404043">
        <w:rPr>
          <w:rFonts w:cstheme="minorHAnsi"/>
        </w:rPr>
        <w:t xml:space="preserve"> waren de ouders-bewindvoerders van elkaar gescheiden maar werden zij samen aangesteld als ouders-bewindvoerders over zowel de persoon als de goederen van hun zoon. De moeder-bewindvoerder gaf in een begeleidend schrijven bij het jaarlijkse verslag aan geen inzage te hebben in het financiële beheer en zich daarom te beperken tot de verslaggeving over de persoon. Tijdens de bespreking met de vrederechter bleek bovendien dat de inkomsten van de beschermde persoon volledig in het gezinsbudget van de vader-bewindvoerder werden opgenomen, zonder enige opsplitsing tussen eigen inkomsten en uitgaven ten behoeve van de beschermde persoon en dat er ondanks overschot op de inkomsten geen spaargelden voor de zoon werden opgebouwd. De vrederechter benadrukte dat een vrijstelling of verregaande vereenvoudiging van de verslaggeving op termijn de controle en het toezicht ernstig bemoeilijkt en dat dit onvermijdelijk zal leiden tot bijkomende vragen wanneer de rechtbank haar controletaak moet uitoefenen. De vrederechter oordeelde dat </w:t>
      </w:r>
      <w:r w:rsidR="003206C6">
        <w:rPr>
          <w:rFonts w:cstheme="minorHAnsi"/>
        </w:rPr>
        <w:t>éé</w:t>
      </w:r>
      <w:r w:rsidRPr="00404043">
        <w:rPr>
          <w:rFonts w:cstheme="minorHAnsi"/>
        </w:rPr>
        <w:t>n jaarlijk</w:t>
      </w:r>
      <w:r w:rsidR="00184AFA">
        <w:rPr>
          <w:rFonts w:cstheme="minorHAnsi"/>
        </w:rPr>
        <w:t>s</w:t>
      </w:r>
      <w:r w:rsidR="006A45D6">
        <w:rPr>
          <w:rFonts w:cstheme="minorHAnsi"/>
        </w:rPr>
        <w:t xml:space="preserve"> </w:t>
      </w:r>
      <w:r w:rsidR="00184AFA">
        <w:rPr>
          <w:rFonts w:cstheme="minorHAnsi"/>
        </w:rPr>
        <w:t xml:space="preserve">verslag </w:t>
      </w:r>
      <w:r w:rsidR="003206C6">
        <w:rPr>
          <w:rFonts w:cstheme="minorHAnsi"/>
        </w:rPr>
        <w:t>al</w:t>
      </w:r>
      <w:r w:rsidRPr="00404043">
        <w:rPr>
          <w:rFonts w:cstheme="minorHAnsi"/>
        </w:rPr>
        <w:t xml:space="preserve"> een ruime rapporteringsperiode </w:t>
      </w:r>
      <w:r w:rsidR="006A45D6">
        <w:rPr>
          <w:rFonts w:cstheme="minorHAnsi"/>
        </w:rPr>
        <w:t xml:space="preserve">inhoudt </w:t>
      </w:r>
      <w:r w:rsidRPr="00404043">
        <w:rPr>
          <w:rFonts w:cstheme="minorHAnsi"/>
        </w:rPr>
        <w:t xml:space="preserve">en een gedetailleerde opgave van inkomsten en uitgaven in het belang is van alle betrokkenen, zijnde de beschermde persoon, de bewindvoerder(s), de vertrouwenspersoon en het vredegerecht. </w:t>
      </w:r>
      <w:r w:rsidRPr="00C146D0">
        <w:rPr>
          <w:rFonts w:cstheme="minorHAnsi"/>
        </w:rPr>
        <w:t xml:space="preserve">Deze situatie illustreert hoe spanningen of een gebrek aan samenwerking tussen gescheiden ouders-bewindvoerders kunnen leiden tot een verstrengeling van belangen, met mogelijke gevolgen voor het vermogensbeheer van de beschermde persoon. In deze context oordeelde de vrederechter dat de controletaak onvoldoende werd vervuld en er dus geen vereenvoudigde verslaggeving kon worden toegestaan. Dit wijst </w:t>
      </w:r>
      <w:r w:rsidRPr="00C146D0">
        <w:rPr>
          <w:rFonts w:cstheme="minorHAnsi"/>
        </w:rPr>
        <w:lastRenderedPageBreak/>
        <w:t>misschien niet op een algemene, restrictieve, benadering maar eerder op een contextgebonden afweging.</w:t>
      </w:r>
    </w:p>
    <w:p w14:paraId="759FE9E5" w14:textId="27692281" w:rsidR="000A5D2B" w:rsidRDefault="000A5D2B" w:rsidP="00404043">
      <w:pPr>
        <w:pStyle w:val="Kop2"/>
        <w:rPr>
          <w:lang w:val="nl-NL"/>
        </w:rPr>
      </w:pPr>
      <w:r>
        <w:rPr>
          <w:lang w:val="nl-NL"/>
        </w:rPr>
        <w:t>Versoepeling vs. vrijstelling</w:t>
      </w:r>
    </w:p>
    <w:p w14:paraId="36B816B4" w14:textId="3954BDD6" w:rsidR="00C146D0" w:rsidRPr="00C146D0" w:rsidRDefault="000A5D2B" w:rsidP="00C146D0">
      <w:pPr>
        <w:numPr>
          <w:ilvl w:val="0"/>
          <w:numId w:val="11"/>
        </w:numPr>
        <w:ind w:left="0" w:firstLine="0"/>
        <w:jc w:val="both"/>
        <w:rPr>
          <w:rFonts w:cstheme="minorHAnsi"/>
        </w:rPr>
      </w:pPr>
      <w:r w:rsidRPr="00404043">
        <w:rPr>
          <w:rFonts w:cstheme="minorHAnsi"/>
        </w:rPr>
        <w:t xml:space="preserve">Hoewel de wetgever als doel had om de administratieve verplichtingen voor ouders te verlichten, </w:t>
      </w:r>
      <w:r w:rsidRPr="00404043">
        <w:rPr>
          <w:rFonts w:eastAsia="Verdana" w:cs="Verdana"/>
          <w:lang w:val="nl-NL"/>
        </w:rPr>
        <w:t>lijkt een volledige vrijstelling van de verslaggevingsplicht te verregaand.</w:t>
      </w:r>
      <w:r w:rsidRPr="00EE0C1D">
        <w:rPr>
          <w:rStyle w:val="Voetnootmarkering"/>
          <w:rFonts w:eastAsia="Verdana" w:cs="Verdana"/>
          <w:lang w:val="nl-NL"/>
        </w:rPr>
        <w:footnoteReference w:id="59"/>
      </w:r>
      <w:r w:rsidRPr="00404043">
        <w:rPr>
          <w:rFonts w:eastAsia="Verdana" w:cs="Verdana"/>
          <w:lang w:val="nl-NL"/>
        </w:rPr>
        <w:t xml:space="preserve"> Het antwoord op de vraag of deze vrijstelling mogelijk is, is afhankelijk van de interpretatie die aan artikel 500/2 oud BW wordt gegeven: enerzijds kan de vrederechter de verplichtingen voor ouders-bewindvoerders beperken of afschaffen, maar anderzijds kan deze bepaling ook in die zin geïnterpreteerd worden dat er steeds een verslag moet zijn</w:t>
      </w:r>
      <w:r w:rsidR="00164042">
        <w:rPr>
          <w:rFonts w:eastAsia="Verdana" w:cs="Verdana"/>
          <w:lang w:val="nl-NL"/>
        </w:rPr>
        <w:t>,</w:t>
      </w:r>
      <w:r w:rsidRPr="00404043">
        <w:rPr>
          <w:rFonts w:eastAsia="Verdana" w:cs="Verdana"/>
          <w:lang w:val="nl-NL"/>
        </w:rPr>
        <w:t xml:space="preserve"> maar da</w:t>
      </w:r>
      <w:r w:rsidR="00E12E9C">
        <w:rPr>
          <w:rFonts w:eastAsia="Verdana" w:cs="Verdana"/>
          <w:lang w:val="nl-NL"/>
        </w:rPr>
        <w:t>t dit</w:t>
      </w:r>
      <w:r w:rsidRPr="00404043">
        <w:rPr>
          <w:rFonts w:eastAsia="Verdana" w:cs="Verdana"/>
          <w:lang w:val="nl-NL"/>
        </w:rPr>
        <w:t xml:space="preserve"> in vereenvoudigde vorm</w:t>
      </w:r>
      <w:r w:rsidR="00E12E9C">
        <w:rPr>
          <w:rFonts w:eastAsia="Verdana" w:cs="Verdana"/>
          <w:lang w:val="nl-NL"/>
        </w:rPr>
        <w:t xml:space="preserve"> kan worden aangeleverd</w:t>
      </w:r>
      <w:r w:rsidRPr="00404043">
        <w:rPr>
          <w:rFonts w:eastAsia="Verdana" w:cs="Verdana"/>
          <w:lang w:val="nl-NL"/>
        </w:rPr>
        <w:t xml:space="preserve">. </w:t>
      </w:r>
    </w:p>
    <w:p w14:paraId="19D7D0EB" w14:textId="77777777" w:rsidR="00C146D0" w:rsidRPr="00C146D0" w:rsidRDefault="00C146D0" w:rsidP="00C146D0">
      <w:pPr>
        <w:jc w:val="both"/>
        <w:rPr>
          <w:rFonts w:cstheme="minorHAnsi"/>
        </w:rPr>
      </w:pPr>
    </w:p>
    <w:p w14:paraId="676AA778" w14:textId="0720FE4B" w:rsidR="00C146D0" w:rsidRDefault="000A5D2B" w:rsidP="00C146D0">
      <w:pPr>
        <w:jc w:val="both"/>
        <w:rPr>
          <w:rFonts w:eastAsia="Verdana" w:cs="Verdana"/>
          <w:lang w:val="nl-NL"/>
        </w:rPr>
      </w:pPr>
      <w:r w:rsidRPr="00404043">
        <w:rPr>
          <w:rFonts w:eastAsia="Verdana" w:cs="Verdana"/>
          <w:lang w:val="nl-NL"/>
        </w:rPr>
        <w:t>Een volledige vrijstelling zou volgens sommige rechtsleer haaks staan op de essentie van een gerechtelijke bescherming, namelijk het invoeren van een controle over het beheer van het vermogen van de beschermde persoon.</w:t>
      </w:r>
      <w:r w:rsidRPr="00EE0C1D">
        <w:rPr>
          <w:rStyle w:val="Voetnootmarkering"/>
          <w:rFonts w:eastAsia="Verdana" w:cs="Verdana"/>
          <w:lang w:val="nl-NL"/>
        </w:rPr>
        <w:footnoteReference w:id="60"/>
      </w:r>
      <w:r w:rsidRPr="00404043">
        <w:rPr>
          <w:rFonts w:eastAsia="Verdana" w:cs="Verdana"/>
          <w:lang w:val="nl-NL"/>
        </w:rPr>
        <w:t xml:space="preserve"> Het onverkort afwijzen van de mogelijkheid tot vereenvoudigde verslaggevingsverplichting voor ouders-bewindvoerders kan dan weer worden geïnterpreteerd als het negeren van de bedoeling van de wetgever.</w:t>
      </w:r>
    </w:p>
    <w:p w14:paraId="3822A3D0" w14:textId="77777777" w:rsidR="00C146D0" w:rsidRPr="00C146D0" w:rsidRDefault="00C146D0" w:rsidP="00C146D0">
      <w:pPr>
        <w:jc w:val="both"/>
        <w:rPr>
          <w:rFonts w:eastAsia="Verdana" w:cs="Verdana"/>
          <w:lang w:val="nl-NL"/>
        </w:rPr>
      </w:pPr>
    </w:p>
    <w:p w14:paraId="21D740C4" w14:textId="4987EBB7" w:rsidR="00404043" w:rsidRPr="00C146D0" w:rsidRDefault="000A5D2B" w:rsidP="00C146D0">
      <w:pPr>
        <w:numPr>
          <w:ilvl w:val="0"/>
          <w:numId w:val="11"/>
        </w:numPr>
        <w:ind w:left="0" w:firstLine="0"/>
        <w:jc w:val="both"/>
        <w:rPr>
          <w:rFonts w:cstheme="minorHAnsi"/>
        </w:rPr>
      </w:pPr>
      <w:r w:rsidRPr="00404043">
        <w:rPr>
          <w:rFonts w:eastAsia="Verdana" w:cs="Verdana"/>
          <w:lang w:val="nl-NL"/>
        </w:rPr>
        <w:t>Uit empirisch onderzoek blijkt bovendien dat een meerderheid van de respondenten positief staat tegenover de vragen of ouders vrijgesteld moeten worden van alle verslaggevingsverplichtingen, of ze over een volledige budgettaire vrijheid moeten beschikken en of ze vrijgesteld moeten worden van het gebruik van het CRBP.</w:t>
      </w:r>
      <w:r w:rsidRPr="00EE0C1D">
        <w:rPr>
          <w:rStyle w:val="Voetnootmarkering"/>
          <w:rFonts w:eastAsia="Verdana" w:cs="Verdana"/>
          <w:lang w:val="nl-NL"/>
        </w:rPr>
        <w:footnoteReference w:id="61"/>
      </w:r>
      <w:r w:rsidRPr="00404043">
        <w:rPr>
          <w:rFonts w:eastAsia="Verdana" w:cs="Verdana"/>
          <w:lang w:val="nl-NL"/>
        </w:rPr>
        <w:t xml:space="preserve"> Deze resultaten wijzen op een behoefte aan meer maatwerk en duidelijkheid in de toepassing van vereenvoudigde verslaggevingsverplichting voor ouders-bewindvoerders.</w:t>
      </w:r>
    </w:p>
    <w:p w14:paraId="7E6A9595" w14:textId="77777777" w:rsidR="00C146D0" w:rsidRPr="00404043" w:rsidRDefault="00C146D0" w:rsidP="00C146D0">
      <w:pPr>
        <w:jc w:val="both"/>
        <w:rPr>
          <w:rFonts w:cstheme="minorHAnsi"/>
        </w:rPr>
      </w:pPr>
    </w:p>
    <w:p w14:paraId="27E07050" w14:textId="5B10205E" w:rsidR="00DB3C70" w:rsidRPr="003B3CAF" w:rsidRDefault="000A5D2B" w:rsidP="003B3CAF">
      <w:pPr>
        <w:numPr>
          <w:ilvl w:val="0"/>
          <w:numId w:val="11"/>
        </w:numPr>
        <w:ind w:left="0" w:firstLine="0"/>
        <w:jc w:val="both"/>
        <w:rPr>
          <w:rFonts w:cstheme="minorHAnsi"/>
        </w:rPr>
      </w:pPr>
      <w:r w:rsidRPr="00404043">
        <w:rPr>
          <w:rFonts w:eastAsia="Verdana" w:cs="Verdana"/>
          <w:lang w:val="nl-NL"/>
        </w:rPr>
        <w:t>Toch mag de unieke positie van ouders niet leiden tot een volledige afschaffing van toezicht, aangezien in bepaalde situaties controle essentieel blijft. Er moet dus een goede balans gevonden worden tussen vertrouwen en controle, afgestemd op de concrete omstandigheden. Hiervoor moet de wet verduidelijkt worden (o.a. inzake de voorwaarden en draagwijdte van een uitzondering). Een gelijkstelling met andere bewindvoerders is dus niet de oplossing, maar een meer samenhangend toepassingskader w</w:t>
      </w:r>
      <w:r w:rsidR="00A16CA0">
        <w:rPr>
          <w:rFonts w:eastAsia="Verdana" w:cs="Verdana"/>
          <w:lang w:val="nl-NL"/>
        </w:rPr>
        <w:t>e</w:t>
      </w:r>
      <w:r w:rsidRPr="00404043">
        <w:rPr>
          <w:rFonts w:eastAsia="Verdana" w:cs="Verdana"/>
          <w:lang w:val="nl-NL"/>
        </w:rPr>
        <w:t>l.</w:t>
      </w:r>
      <w:r w:rsidRPr="00123C77">
        <w:rPr>
          <w:rStyle w:val="Voetnootmarkering"/>
          <w:rFonts w:eastAsia="Verdana" w:cs="Verdana"/>
          <w:lang w:val="nl-NL"/>
        </w:rPr>
        <w:footnoteReference w:id="62"/>
      </w:r>
      <w:r w:rsidR="00404043">
        <w:rPr>
          <w:rFonts w:cstheme="minorHAnsi"/>
          <w:lang w:val="nl-NL"/>
        </w:rPr>
        <w:t xml:space="preserve"> </w:t>
      </w:r>
    </w:p>
    <w:sectPr w:rsidR="00DB3C70" w:rsidRPr="003B3CAF" w:rsidSect="00693C29">
      <w:headerReference w:type="default" r:id="rId9"/>
      <w:footerReference w:type="default" r:id="rId10"/>
      <w:headerReference w:type="first" r:id="rId11"/>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DF8E7" w14:textId="77777777" w:rsidR="00382C13" w:rsidRDefault="00382C13" w:rsidP="00F528FC">
      <w:r>
        <w:separator/>
      </w:r>
    </w:p>
  </w:endnote>
  <w:endnote w:type="continuationSeparator" w:id="0">
    <w:p w14:paraId="03BA1558" w14:textId="77777777" w:rsidR="00382C13" w:rsidRDefault="00382C13" w:rsidP="00F52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7489820"/>
      <w:docPartObj>
        <w:docPartGallery w:val="Page Numbers (Bottom of Page)"/>
        <w:docPartUnique/>
      </w:docPartObj>
    </w:sdtPr>
    <w:sdtEndPr>
      <w:rPr>
        <w:noProof/>
      </w:rPr>
    </w:sdtEndPr>
    <w:sdtContent>
      <w:p w14:paraId="5C0CC68A" w14:textId="33990FD7" w:rsidR="00230428" w:rsidRDefault="00230428" w:rsidP="007C1A20">
        <w:pPr>
          <w:jc w:val="center"/>
        </w:pPr>
        <w:r>
          <w:fldChar w:fldCharType="begin"/>
        </w:r>
        <w:r>
          <w:instrText xml:space="preserve"> PAGE   \* MERGEFORMAT </w:instrText>
        </w:r>
        <w:r>
          <w:fldChar w:fldCharType="separate"/>
        </w:r>
        <w:r w:rsidR="002F7284">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62F78" w14:textId="77777777" w:rsidR="00382C13" w:rsidRDefault="00382C13" w:rsidP="00F528FC">
      <w:r>
        <w:separator/>
      </w:r>
    </w:p>
  </w:footnote>
  <w:footnote w:type="continuationSeparator" w:id="0">
    <w:p w14:paraId="7B0B67F7" w14:textId="77777777" w:rsidR="00382C13" w:rsidRDefault="00382C13" w:rsidP="00F528FC">
      <w:r>
        <w:continuationSeparator/>
      </w:r>
    </w:p>
  </w:footnote>
  <w:footnote w:id="1">
    <w:p w14:paraId="3883E41F" w14:textId="77777777" w:rsidR="00122C8C" w:rsidRPr="00325440" w:rsidRDefault="00122C8C"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MvT bij wetsvoorstel tot invoering van een globaal beschermingsstatuut voor meerderjarige wilsonbekwame personen, KAMER, 2010-2011, 11 januari 2011, nr. 53-1009/1, 7-8, 10-12 en 51-52.</w:t>
      </w:r>
    </w:p>
  </w:footnote>
  <w:footnote w:id="2">
    <w:p w14:paraId="36D33AAD" w14:textId="77777777" w:rsidR="00122C8C" w:rsidRPr="00325440" w:rsidRDefault="00122C8C"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BERTOUILLE V., ROTTHIER K. en VAN DEN EEDEN E., </w:t>
      </w:r>
      <w:r w:rsidRPr="00325440">
        <w:rPr>
          <w:rFonts w:cstheme="minorHAnsi"/>
          <w:i/>
          <w:iCs/>
        </w:rPr>
        <w:t>Onbekwaamheid en bescherming – praktische handleiding meerderjarige onbekwame</w:t>
      </w:r>
      <w:r w:rsidRPr="00325440">
        <w:rPr>
          <w:rFonts w:cstheme="minorHAnsi"/>
        </w:rPr>
        <w:t>, Kluwer, 2014, 231-232.</w:t>
      </w:r>
    </w:p>
  </w:footnote>
  <w:footnote w:id="3">
    <w:p w14:paraId="764F4CA5" w14:textId="77777777" w:rsidR="00B306B7" w:rsidRPr="00325440" w:rsidRDefault="00B306B7"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KONING BOUDEWIJNSTICHTING, </w:t>
      </w:r>
      <w:r w:rsidRPr="00325440">
        <w:rPr>
          <w:rFonts w:cstheme="minorHAnsi"/>
          <w:i/>
          <w:iCs/>
        </w:rPr>
        <w:t>Praktische gids voor familiale bewindvoerders</w:t>
      </w:r>
      <w:r w:rsidRPr="00325440">
        <w:rPr>
          <w:rFonts w:cstheme="minorHAnsi"/>
        </w:rPr>
        <w:t xml:space="preserve">, 2022, 21-24, </w:t>
      </w:r>
      <w:hyperlink r:id="rId1" w:history="1">
        <w:r w:rsidRPr="00325440">
          <w:rPr>
            <w:rStyle w:val="Hyperlink"/>
            <w:rFonts w:cstheme="minorHAnsi"/>
          </w:rPr>
          <w:t>www.notaris.be/nieuws-pers/brochures/downloads/230</w:t>
        </w:r>
      </w:hyperlink>
      <w:r w:rsidRPr="00325440">
        <w:rPr>
          <w:rFonts w:cstheme="minorHAnsi"/>
        </w:rPr>
        <w:t xml:space="preserve"> (geraadpleegd op 9 januari 2026).</w:t>
      </w:r>
    </w:p>
  </w:footnote>
  <w:footnote w:id="4">
    <w:p w14:paraId="28065866" w14:textId="77777777"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Art. 499/6, eerste lid </w:t>
      </w:r>
      <w:r w:rsidRPr="00325440">
        <w:rPr>
          <w:rFonts w:cstheme="minorHAnsi"/>
          <w:i/>
          <w:iCs/>
        </w:rPr>
        <w:t>in fine</w:t>
      </w:r>
      <w:r w:rsidRPr="00325440">
        <w:rPr>
          <w:rFonts w:cstheme="minorHAnsi"/>
        </w:rPr>
        <w:t xml:space="preserve"> oud BW; art. 499/14, § 1, tweede lid </w:t>
      </w:r>
      <w:r w:rsidRPr="00325440">
        <w:rPr>
          <w:rFonts w:cstheme="minorHAnsi"/>
          <w:i/>
          <w:iCs/>
        </w:rPr>
        <w:t>in fine</w:t>
      </w:r>
      <w:r w:rsidRPr="00325440">
        <w:rPr>
          <w:rFonts w:cstheme="minorHAnsi"/>
        </w:rPr>
        <w:t xml:space="preserve"> oud BW; art. 499/14, § 2, eerste lid </w:t>
      </w:r>
      <w:r w:rsidRPr="00325440">
        <w:rPr>
          <w:rFonts w:cstheme="minorHAnsi"/>
          <w:i/>
          <w:iCs/>
        </w:rPr>
        <w:t>in fine</w:t>
      </w:r>
      <w:r w:rsidRPr="00325440">
        <w:rPr>
          <w:rFonts w:cstheme="minorHAnsi"/>
        </w:rPr>
        <w:t xml:space="preserve"> oud BW.</w:t>
      </w:r>
    </w:p>
  </w:footnote>
  <w:footnote w:id="5">
    <w:p w14:paraId="1A3D1DDF" w14:textId="77777777" w:rsidR="00B306B7" w:rsidRPr="00325440" w:rsidRDefault="00B306B7"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Vred. Landen-Zoutleeuw (zetel Landen)</w:t>
      </w:r>
      <w:r w:rsidRPr="00325440">
        <w:rPr>
          <w:rFonts w:cstheme="minorHAnsi"/>
          <w:i/>
          <w:iCs/>
        </w:rPr>
        <w:t xml:space="preserve"> </w:t>
      </w:r>
      <w:r w:rsidRPr="00325440">
        <w:rPr>
          <w:rFonts w:cstheme="minorHAnsi"/>
        </w:rPr>
        <w:t xml:space="preserve">24 oktober 2019, </w:t>
      </w:r>
      <w:r w:rsidRPr="00325440">
        <w:rPr>
          <w:rFonts w:cstheme="minorHAnsi"/>
          <w:i/>
          <w:iCs/>
        </w:rPr>
        <w:t>T.Vred.</w:t>
      </w:r>
      <w:r w:rsidRPr="00325440">
        <w:rPr>
          <w:rFonts w:cstheme="minorHAnsi"/>
        </w:rPr>
        <w:t xml:space="preserve"> 2020/5-6, (317) 317-319.</w:t>
      </w:r>
    </w:p>
  </w:footnote>
  <w:footnote w:id="6">
    <w:p w14:paraId="35AFA40B" w14:textId="77777777" w:rsidR="00B306B7" w:rsidRPr="00325440" w:rsidRDefault="00B306B7"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Zie WUYTS T., ‘Overzicht van rechtspraak. Personenrecht (2009-2022)’, </w:t>
      </w:r>
      <w:r w:rsidRPr="00325440">
        <w:rPr>
          <w:rFonts w:cstheme="minorHAnsi"/>
          <w:i/>
          <w:iCs/>
        </w:rPr>
        <w:t>TPR</w:t>
      </w:r>
      <w:r w:rsidRPr="00325440">
        <w:rPr>
          <w:rFonts w:cstheme="minorHAnsi"/>
        </w:rPr>
        <w:t xml:space="preserve"> 2023/4, (1657) 1704-1705: “De vrederechter stelt vast dat het kind al van heel jonge leeftijd in het gezin verblijft. De familierechtbank delegeerde bovendien alle bevoegdheden van ouderlijk gezag aan de pleegouders. Het pleegkind werd in het gezin van de pleegouders opgenomen en omringd met dezelfde zorgen als de eigen kinderen van de pleegouders. (…) Zelf beschouwt zij haar pleegouders ook als werkelijke ouders”.</w:t>
      </w:r>
    </w:p>
  </w:footnote>
  <w:footnote w:id="7">
    <w:p w14:paraId="6C0AE4D0" w14:textId="14B69E4D" w:rsidR="00314F31" w:rsidRDefault="00314F31" w:rsidP="00314F31">
      <w:pPr>
        <w:pStyle w:val="Voetnoottekst"/>
        <w:jc w:val="both"/>
      </w:pPr>
      <w:r>
        <w:rPr>
          <w:rStyle w:val="Voetnootmarkering"/>
        </w:rPr>
        <w:footnoteRef/>
      </w:r>
      <w:r>
        <w:t xml:space="preserve"> Zie SENAEVE P., DECLERCK C. en WUYTS T., </w:t>
      </w:r>
      <w:r>
        <w:rPr>
          <w:i/>
          <w:iCs/>
        </w:rPr>
        <w:t xml:space="preserve">Compendium van het personen- en </w:t>
      </w:r>
      <w:r w:rsidRPr="00314F31">
        <w:t>familierec</w:t>
      </w:r>
      <w:r>
        <w:t>ht, A</w:t>
      </w:r>
      <w:r w:rsidR="00AD341B">
        <w:t>cco</w:t>
      </w:r>
      <w:r>
        <w:t xml:space="preserve">, 2025, </w:t>
      </w:r>
      <w:r w:rsidRPr="00314F31">
        <w:t>379</w:t>
      </w:r>
      <w:r>
        <w:t>-381, nr. 1202-1207.</w:t>
      </w:r>
    </w:p>
  </w:footnote>
  <w:footnote w:id="8">
    <w:p w14:paraId="167A005F" w14:textId="77777777"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WUYTS T., </w:t>
      </w:r>
      <w:r w:rsidRPr="00325440">
        <w:rPr>
          <w:rFonts w:cstheme="minorHAnsi"/>
          <w:i/>
          <w:iCs/>
        </w:rPr>
        <w:t>Vermogensbeheer door ouder(s), voogd en voorlopige bewindvoerder</w:t>
      </w:r>
      <w:r w:rsidRPr="00325440">
        <w:rPr>
          <w:rFonts w:cstheme="minorHAnsi"/>
        </w:rPr>
        <w:t xml:space="preserve">, Intersentia, 2005, 119; ROTHIER K., </w:t>
      </w:r>
      <w:r w:rsidRPr="00325440">
        <w:rPr>
          <w:rFonts w:cstheme="minorHAnsi"/>
          <w:i/>
          <w:iCs/>
        </w:rPr>
        <w:t>Verlengde minderjarigheid. De rechtspositie van de mentaal gehandicapte</w:t>
      </w:r>
      <w:r w:rsidRPr="00325440">
        <w:rPr>
          <w:rFonts w:cstheme="minorHAnsi"/>
        </w:rPr>
        <w:t>, die Keure, 2010, 85.</w:t>
      </w:r>
    </w:p>
  </w:footnote>
  <w:footnote w:id="9">
    <w:p w14:paraId="616D02A5" w14:textId="0369F1CD"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Wet 17 maart 2013 tot hervorming van de regelingen inzake onbekwaamheid en tot instelling van een nieuwe beschermingsstatus die strookt met de menselijke waardigheid, </w:t>
      </w:r>
      <w:r w:rsidRPr="00325440">
        <w:rPr>
          <w:rFonts w:cstheme="minorHAnsi"/>
          <w:i/>
          <w:iCs/>
        </w:rPr>
        <w:t>BS</w:t>
      </w:r>
      <w:r w:rsidRPr="00325440">
        <w:rPr>
          <w:rFonts w:cstheme="minorHAnsi"/>
        </w:rPr>
        <w:t xml:space="preserve"> 14 juni 2013</w:t>
      </w:r>
      <w:r w:rsidR="004C5D52" w:rsidRPr="00325440">
        <w:rPr>
          <w:rFonts w:cstheme="minorHAnsi"/>
        </w:rPr>
        <w:t xml:space="preserve">; ROTTHIER K., ‘Deel 11. Het opstellen van de verslagen’ in SENAEVE P., SWENNEN F. en VERSCHELDEN G. (eds.), </w:t>
      </w:r>
      <w:r w:rsidR="004C5D52" w:rsidRPr="00325440">
        <w:rPr>
          <w:rFonts w:cstheme="minorHAnsi"/>
          <w:i/>
          <w:iCs/>
        </w:rPr>
        <w:t>Meerderjarige beschermde personen</w:t>
      </w:r>
      <w:r w:rsidR="004C5D52" w:rsidRPr="00325440">
        <w:rPr>
          <w:rFonts w:cstheme="minorHAnsi"/>
        </w:rPr>
        <w:t>, die Keure, 2014, (325) 325.</w:t>
      </w:r>
    </w:p>
  </w:footnote>
  <w:footnote w:id="10">
    <w:p w14:paraId="02CAC24C" w14:textId="77777777"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MvT bij wetsvoorstel tot invoering van een globaal beschermingsstatuut voor meerderjarige wilsonbekwame personen, KAMER, 2010-2011, 11 januari 2011, nr. 53-1009/1, 7-8, 10-11 en 51-52.</w:t>
      </w:r>
    </w:p>
  </w:footnote>
  <w:footnote w:id="11">
    <w:p w14:paraId="378C9608" w14:textId="77777777"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w:t>
      </w:r>
      <w:r w:rsidRPr="00325440">
        <w:rPr>
          <w:rFonts w:cstheme="minorHAnsi"/>
          <w:i/>
          <w:iCs/>
        </w:rPr>
        <w:t>Ibid.</w:t>
      </w:r>
      <w:r w:rsidRPr="00325440">
        <w:rPr>
          <w:rFonts w:cstheme="minorHAnsi"/>
        </w:rPr>
        <w:t>, 11-12.</w:t>
      </w:r>
    </w:p>
  </w:footnote>
  <w:footnote w:id="12">
    <w:p w14:paraId="27648222" w14:textId="77777777"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BERTOUILLE V., ROTTHIER K. en VAN DEN EEDEN E., </w:t>
      </w:r>
      <w:r w:rsidRPr="00325440">
        <w:rPr>
          <w:rFonts w:cstheme="minorHAnsi"/>
          <w:i/>
          <w:iCs/>
        </w:rPr>
        <w:t>Onbekwaamheid en bescherming – praktische handleiding meerderjarige onbekwame</w:t>
      </w:r>
      <w:r w:rsidRPr="00325440">
        <w:rPr>
          <w:rFonts w:cstheme="minorHAnsi"/>
        </w:rPr>
        <w:t>, Kluwer, 2014, 231-232.</w:t>
      </w:r>
    </w:p>
  </w:footnote>
  <w:footnote w:id="13">
    <w:p w14:paraId="55E118EF" w14:textId="77777777"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KB 29 juli 2019 tot vaststelling van de inhoud en de vorm van modellen van verslagen en van vereenvoudigde boekhouding ter uitvoering van de artikelen 498/2, § 4, 499/5, vijfde lid, en 499/14, § 4 van het Burgerlijk Wetboek, </w:t>
      </w:r>
      <w:r w:rsidRPr="00325440">
        <w:rPr>
          <w:rFonts w:cstheme="minorHAnsi"/>
          <w:i/>
          <w:iCs/>
        </w:rPr>
        <w:t>BS</w:t>
      </w:r>
      <w:r w:rsidRPr="00325440">
        <w:rPr>
          <w:rFonts w:cstheme="minorHAnsi"/>
        </w:rPr>
        <w:t xml:space="preserve"> 21 augustus 2019. Dit besluit vervangt het KB van 31 augustus 2014.</w:t>
      </w:r>
    </w:p>
  </w:footnote>
  <w:footnote w:id="14">
    <w:p w14:paraId="378666B6" w14:textId="1AC8D7F6"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w:t>
      </w:r>
      <w:r w:rsidR="00184AFA" w:rsidRPr="00325440">
        <w:rPr>
          <w:rFonts w:cstheme="minorHAnsi"/>
        </w:rPr>
        <w:t xml:space="preserve">Verslag </w:t>
      </w:r>
      <w:r w:rsidR="00184AFA">
        <w:rPr>
          <w:rFonts w:cstheme="minorHAnsi"/>
        </w:rPr>
        <w:t>namens de Commissie voor de Justitie (BROTCORNE en VAN HECKE) bij wetsvoorstel tot invoering van een globaal beschermingsstatuut voor meerderjarige wilsonbekwame personen en bij wetsvoorstel tot instelling van een algemene regeling van voorlopig bewind over goederen en personen</w:t>
      </w:r>
      <w:r w:rsidRPr="00325440">
        <w:rPr>
          <w:rFonts w:cstheme="minorHAnsi"/>
        </w:rPr>
        <w:t xml:space="preserve">, KAMER, 2011-2012, 16 juli 2012, nr. 53-1009/10, 90; RENCHON J.-L., ‘Le nouveau régime de la protection judiciaire des incapables majeurs: présentation générale’, </w:t>
      </w:r>
      <w:r w:rsidRPr="00325440">
        <w:rPr>
          <w:rFonts w:cstheme="minorHAnsi"/>
          <w:i/>
          <w:iCs/>
        </w:rPr>
        <w:t>RTDF</w:t>
      </w:r>
      <w:r w:rsidRPr="00325440">
        <w:rPr>
          <w:rFonts w:cstheme="minorHAnsi"/>
        </w:rPr>
        <w:t xml:space="preserve"> 2014/2, (241) 263; SCHEERS D. en SCHEERS C., ‘Bescherming van meerderjarige onbekwamen: op maat van de praktijk (Deel I)’, </w:t>
      </w:r>
      <w:r w:rsidRPr="00325440">
        <w:rPr>
          <w:rFonts w:cstheme="minorHAnsi"/>
          <w:i/>
          <w:iCs/>
        </w:rPr>
        <w:t>RW</w:t>
      </w:r>
      <w:r w:rsidRPr="00325440">
        <w:rPr>
          <w:rFonts w:cstheme="minorHAnsi"/>
        </w:rPr>
        <w:t xml:space="preserve"> 2018-2019/39, (1522) 1531.</w:t>
      </w:r>
    </w:p>
  </w:footnote>
  <w:footnote w:id="15">
    <w:p w14:paraId="7196D462" w14:textId="77777777" w:rsidR="00076213" w:rsidRPr="00325440" w:rsidRDefault="00076213" w:rsidP="00076213">
      <w:pPr>
        <w:pStyle w:val="Voetnoottekst"/>
        <w:jc w:val="both"/>
        <w:rPr>
          <w:rFonts w:cstheme="minorHAnsi"/>
        </w:rPr>
      </w:pPr>
      <w:r w:rsidRPr="00325440">
        <w:rPr>
          <w:rStyle w:val="Voetnootmarkering"/>
          <w:rFonts w:cstheme="minorHAnsi"/>
        </w:rPr>
        <w:footnoteRef/>
      </w:r>
      <w:r w:rsidRPr="00325440">
        <w:rPr>
          <w:rFonts w:cstheme="minorHAnsi"/>
        </w:rPr>
        <w:t xml:space="preserve"> Zie WUYTS T., </w:t>
      </w:r>
      <w:r w:rsidRPr="00325440">
        <w:rPr>
          <w:rFonts w:cstheme="minorHAnsi"/>
          <w:i/>
          <w:iCs/>
        </w:rPr>
        <w:t>De nieuwe wet op het bewind</w:t>
      </w:r>
      <w:r w:rsidRPr="00325440">
        <w:rPr>
          <w:rFonts w:cstheme="minorHAnsi"/>
        </w:rPr>
        <w:t xml:space="preserve">, Kluwer, 2014, 53; SCHEERS D. en WUYTS T., </w:t>
      </w:r>
      <w:r w:rsidRPr="00325440">
        <w:rPr>
          <w:rFonts w:cstheme="minorHAnsi"/>
          <w:i/>
          <w:iCs/>
        </w:rPr>
        <w:t>De vrederechter en het bewind</w:t>
      </w:r>
      <w:r w:rsidRPr="00325440">
        <w:rPr>
          <w:rFonts w:cstheme="minorHAnsi"/>
        </w:rPr>
        <w:t xml:space="preserve">, Intersentia, 2014, 67-68; WUYTS T., ‘Een jaar toepassing van het eengemaakte beschermingsstatuut. Een tussentijdse evaluatie en aanbevelingen tot bijsturing waar nodig’ in DAMBRE M. en LECOCQ P. (eds.), </w:t>
      </w:r>
      <w:r w:rsidRPr="00325440">
        <w:rPr>
          <w:rFonts w:cstheme="minorHAnsi"/>
          <w:i/>
          <w:iCs/>
        </w:rPr>
        <w:t>Rechtskroniek voor de Vrede- en Politierechters 2015</w:t>
      </w:r>
      <w:r w:rsidRPr="00325440">
        <w:rPr>
          <w:rFonts w:cstheme="minorHAnsi"/>
        </w:rPr>
        <w:t>, die Keure, 2015, (1) 8-9.</w:t>
      </w:r>
    </w:p>
  </w:footnote>
  <w:footnote w:id="16">
    <w:p w14:paraId="3A1F1E72" w14:textId="77777777" w:rsidR="000A5D2B" w:rsidRPr="00325440" w:rsidRDefault="000A5D2B" w:rsidP="00325440">
      <w:pPr>
        <w:pStyle w:val="Voetnoottekst"/>
        <w:jc w:val="both"/>
        <w:rPr>
          <w:rFonts w:cstheme="minorHAnsi"/>
          <w:lang w:val="fr-FR"/>
        </w:rPr>
      </w:pPr>
      <w:r w:rsidRPr="00325440">
        <w:rPr>
          <w:rStyle w:val="Voetnootmarkering"/>
          <w:rFonts w:cstheme="minorHAnsi"/>
        </w:rPr>
        <w:footnoteRef/>
      </w:r>
      <w:r w:rsidRPr="00325440">
        <w:rPr>
          <w:rFonts w:cstheme="minorHAnsi"/>
          <w:lang w:val="fr-FR"/>
        </w:rPr>
        <w:t xml:space="preserve"> Art. 500/2 oud BW.</w:t>
      </w:r>
    </w:p>
  </w:footnote>
  <w:footnote w:id="17">
    <w:p w14:paraId="56DFDC72" w14:textId="77777777" w:rsidR="000A5D2B" w:rsidRPr="00325440" w:rsidRDefault="000A5D2B" w:rsidP="00325440">
      <w:pPr>
        <w:pStyle w:val="Voetnoottekst"/>
        <w:jc w:val="both"/>
        <w:rPr>
          <w:rFonts w:cstheme="minorHAnsi"/>
          <w:lang w:val="fr-FR"/>
        </w:rPr>
      </w:pPr>
      <w:r w:rsidRPr="00325440">
        <w:rPr>
          <w:rStyle w:val="Voetnootmarkering"/>
          <w:rFonts w:cstheme="minorHAnsi"/>
        </w:rPr>
        <w:footnoteRef/>
      </w:r>
      <w:r w:rsidRPr="00325440">
        <w:rPr>
          <w:rFonts w:cstheme="minorHAnsi"/>
          <w:lang w:val="fr-FR"/>
        </w:rPr>
        <w:t xml:space="preserve"> MvT bij wetsvoorstel tot invoering van een globaal beschermingsstatuut voor meerderjarige wilsonbekwame personen, KAMER, 2010-2011, 11 januari 2011, nr. 53-1009/1, 58; DEGUEL F., ‘La loi du 17 mars 2013 réformant les régimes d’incapacité et instaurant un nouveau statut de protection conforme à la dignité humaine: vers un simplification’, </w:t>
      </w:r>
      <w:r w:rsidRPr="00325440">
        <w:rPr>
          <w:rFonts w:cstheme="minorHAnsi"/>
          <w:i/>
          <w:iCs/>
          <w:lang w:val="fr-FR"/>
        </w:rPr>
        <w:t>TBBR</w:t>
      </w:r>
      <w:r w:rsidRPr="00325440">
        <w:rPr>
          <w:rFonts w:cstheme="minorHAnsi"/>
          <w:lang w:val="fr-FR"/>
        </w:rPr>
        <w:t xml:space="preserve"> 2013/6, (290) 309.</w:t>
      </w:r>
    </w:p>
  </w:footnote>
  <w:footnote w:id="18">
    <w:p w14:paraId="2BDA93B1" w14:textId="77777777" w:rsidR="004C5D52" w:rsidRPr="00325440" w:rsidRDefault="004C5D52"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Zie </w:t>
      </w:r>
      <w:r w:rsidRPr="00325440">
        <w:rPr>
          <w:rFonts w:eastAsia="Verdana" w:cstheme="minorHAnsi"/>
        </w:rPr>
        <w:t>onderafdeling 4 van afdeling 4 van hoofdstuk II/1 van Titel XI oud BW: art. 500 ev. oud BW.</w:t>
      </w:r>
    </w:p>
  </w:footnote>
  <w:footnote w:id="19">
    <w:p w14:paraId="134AEEC1" w14:textId="1E41E992" w:rsidR="004C5D52" w:rsidRPr="00325440" w:rsidRDefault="004C5D52"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w:t>
      </w:r>
      <w:r w:rsidR="00325440" w:rsidRPr="00325440">
        <w:rPr>
          <w:rFonts w:cstheme="minorHAnsi"/>
        </w:rPr>
        <w:t xml:space="preserve">JANS A., ‘De verslaggevingsverplichting van ouders-bewindvoerders: soepel en vereenvoudigd of (te) zware belasting? (noot onder Vred. Brugge (I) 25 september 2024)’, </w:t>
      </w:r>
      <w:r w:rsidR="00325440" w:rsidRPr="00076213">
        <w:rPr>
          <w:rFonts w:cstheme="minorHAnsi"/>
          <w:i/>
          <w:iCs/>
        </w:rPr>
        <w:t>T.Fam</w:t>
      </w:r>
      <w:r w:rsidR="00325440" w:rsidRPr="00325440">
        <w:rPr>
          <w:rFonts w:cstheme="minorHAnsi"/>
        </w:rPr>
        <w:t>. 2025/6, (204) 205-206.</w:t>
      </w:r>
    </w:p>
  </w:footnote>
  <w:footnote w:id="20">
    <w:p w14:paraId="03654C7D" w14:textId="77777777"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Zie </w:t>
      </w:r>
      <w:r w:rsidRPr="00325440">
        <w:rPr>
          <w:rFonts w:eastAsia="Verdana" w:cstheme="minorHAnsi"/>
        </w:rPr>
        <w:t>art. 498/3, § 2/1 oud BW.</w:t>
      </w:r>
    </w:p>
  </w:footnote>
  <w:footnote w:id="21">
    <w:p w14:paraId="7CDF9649" w14:textId="60AED57E" w:rsidR="000A5D2B" w:rsidRPr="00325440" w:rsidRDefault="000A5D2B" w:rsidP="00325440">
      <w:pPr>
        <w:pStyle w:val="Voetnoottekst"/>
        <w:jc w:val="both"/>
        <w:rPr>
          <w:rFonts w:cstheme="minorHAnsi"/>
          <w:lang w:val="fr-FR"/>
        </w:rPr>
      </w:pPr>
      <w:r w:rsidRPr="00325440">
        <w:rPr>
          <w:rStyle w:val="Voetnootmarkering"/>
          <w:rFonts w:cstheme="minorHAnsi"/>
        </w:rPr>
        <w:footnoteRef/>
      </w:r>
      <w:r w:rsidRPr="00325440">
        <w:rPr>
          <w:rFonts w:cstheme="minorHAnsi"/>
        </w:rPr>
        <w:t xml:space="preserve"> Zie art. 500-500/4 oud BW; Verslag </w:t>
      </w:r>
      <w:r w:rsidR="00184AFA">
        <w:rPr>
          <w:rFonts w:cstheme="minorHAnsi"/>
        </w:rPr>
        <w:t>namens de Commissie voor de Justitie (BROTCORNE en VAN HECKE) bij wetsvoorstel tot invoering van een globaal beschermingsstatuut voor meerderjarige wilsonbekwame personen en bij wetsvoorstel tot instelling van een algemene regeling van voorlopig bewind over goederen en personen</w:t>
      </w:r>
      <w:r w:rsidRPr="00325440">
        <w:rPr>
          <w:rFonts w:cstheme="minorHAnsi"/>
        </w:rPr>
        <w:t xml:space="preserve">, KAMER, 2011-2012, 16 juli 2012, nr. 53-1009/10, 89-90; MEVESEN B., ‘Het bewind: werking en organisatie’ in SENAEVE P., SWENNEN F. en VERSCHELDEN G. (eds.), </w:t>
      </w:r>
      <w:r w:rsidRPr="00325440">
        <w:rPr>
          <w:rFonts w:cstheme="minorHAnsi"/>
          <w:i/>
          <w:iCs/>
        </w:rPr>
        <w:t>Meerderjarige beschermde personen</w:t>
      </w:r>
      <w:r w:rsidRPr="00325440">
        <w:rPr>
          <w:rFonts w:cstheme="minorHAnsi"/>
        </w:rPr>
        <w:t xml:space="preserve">, die Keure, 2014, (141) 150-151; GALLUS N., ‘Section 4. </w:t>
      </w:r>
      <w:r w:rsidRPr="00325440">
        <w:rPr>
          <w:rFonts w:cstheme="minorHAnsi"/>
          <w:lang w:val="fr-FR"/>
        </w:rPr>
        <w:t xml:space="preserve">Protection judiciaire de la personne’ in RENCHON J.-L. (ed.), </w:t>
      </w:r>
      <w:r w:rsidRPr="00325440">
        <w:rPr>
          <w:rFonts w:cstheme="minorHAnsi"/>
          <w:i/>
          <w:iCs/>
          <w:lang w:val="fr-FR"/>
        </w:rPr>
        <w:t xml:space="preserve">Etats généraux du droit de la famille, </w:t>
      </w:r>
      <w:r w:rsidRPr="00325440">
        <w:rPr>
          <w:rFonts w:cstheme="minorHAnsi"/>
          <w:lang w:val="fr-FR"/>
        </w:rPr>
        <w:t>Bruylant, 2014, (47) 58.</w:t>
      </w:r>
    </w:p>
  </w:footnote>
  <w:footnote w:id="22">
    <w:p w14:paraId="2895626F" w14:textId="77777777" w:rsidR="000A5D2B" w:rsidRPr="00325440" w:rsidRDefault="000A5D2B" w:rsidP="00325440">
      <w:pPr>
        <w:pStyle w:val="Voetnoottekst"/>
        <w:jc w:val="both"/>
        <w:rPr>
          <w:rFonts w:cstheme="minorHAnsi"/>
          <w:lang w:val="fr-FR"/>
        </w:rPr>
      </w:pPr>
      <w:r w:rsidRPr="00325440">
        <w:rPr>
          <w:rStyle w:val="Voetnootmarkering"/>
          <w:rFonts w:cstheme="minorHAnsi"/>
        </w:rPr>
        <w:footnoteRef/>
      </w:r>
      <w:r w:rsidRPr="00325440">
        <w:rPr>
          <w:rFonts w:cstheme="minorHAnsi"/>
        </w:rPr>
        <w:t xml:space="preserve"> MvT bij wetsvoorstel tot invoering van een globaal beschermingsstatuut voor meerderjarige wilsonbekwame personen, KAMER, 2011-2012, 11 januari 2011, nr. 53-1009/1, 60-61; GALLUS N., ‘Section 4. </w:t>
      </w:r>
      <w:r w:rsidRPr="00325440">
        <w:rPr>
          <w:rFonts w:cstheme="minorHAnsi"/>
          <w:lang w:val="fr-FR"/>
        </w:rPr>
        <w:t xml:space="preserve">Protection judiciaire de la personne’ in RENCHON J.-L. (ed.), </w:t>
      </w:r>
      <w:r w:rsidRPr="00325440">
        <w:rPr>
          <w:rFonts w:cstheme="minorHAnsi"/>
          <w:i/>
          <w:iCs/>
          <w:lang w:val="fr-FR"/>
        </w:rPr>
        <w:t xml:space="preserve">Etats généraux du droit de la famille, </w:t>
      </w:r>
      <w:r w:rsidRPr="00325440">
        <w:rPr>
          <w:rFonts w:cstheme="minorHAnsi"/>
          <w:lang w:val="fr-FR"/>
        </w:rPr>
        <w:t xml:space="preserve">Bruylant, 2014, (47) 58; DEGUEL F., ‘Pot-pourri pour les personnes majeures protégées’, </w:t>
      </w:r>
      <w:r w:rsidRPr="00325440">
        <w:rPr>
          <w:rFonts w:cstheme="minorHAnsi"/>
          <w:i/>
          <w:iCs/>
          <w:lang w:val="fr-FR"/>
        </w:rPr>
        <w:t>JT</w:t>
      </w:r>
      <w:r w:rsidRPr="00325440">
        <w:rPr>
          <w:rFonts w:cstheme="minorHAnsi"/>
          <w:lang w:val="fr-FR"/>
        </w:rPr>
        <w:t xml:space="preserve"> 2019/19, (369) 377-378.</w:t>
      </w:r>
    </w:p>
  </w:footnote>
  <w:footnote w:id="23">
    <w:p w14:paraId="05EE162B" w14:textId="4CE9C139"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w:t>
      </w:r>
      <w:r w:rsidRPr="00325440">
        <w:rPr>
          <w:rFonts w:eastAsia="Verdana" w:cstheme="minorHAnsi"/>
        </w:rPr>
        <w:t xml:space="preserve">ROTTHIER K., ‘Het opstellen van de verslagen’ in SENAEVE P., SWENNEN F. en VERSCHELDEN G. (eds.), </w:t>
      </w:r>
      <w:r w:rsidRPr="00325440">
        <w:rPr>
          <w:rFonts w:eastAsia="Verdana" w:cstheme="minorHAnsi"/>
          <w:i/>
          <w:iCs/>
        </w:rPr>
        <w:t xml:space="preserve">Meerderjarige beschermde personen, </w:t>
      </w:r>
      <w:r w:rsidRPr="00325440">
        <w:rPr>
          <w:rFonts w:eastAsia="Verdana" w:cstheme="minorHAnsi"/>
        </w:rPr>
        <w:t>die Keure, 2014, 323 ev.</w:t>
      </w:r>
    </w:p>
  </w:footnote>
  <w:footnote w:id="24">
    <w:p w14:paraId="64815459" w14:textId="50633EA8" w:rsidR="00DB3C70" w:rsidRPr="00325440" w:rsidRDefault="00DB3C70"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GALLUS N. en VAN HALTEREN T., </w:t>
      </w:r>
      <w:r w:rsidRPr="00325440">
        <w:rPr>
          <w:rFonts w:cstheme="minorHAnsi"/>
          <w:i/>
          <w:iCs/>
        </w:rPr>
        <w:t>Le nouveau régime de protection des personnes majeures</w:t>
      </w:r>
      <w:r w:rsidRPr="00325440">
        <w:rPr>
          <w:rFonts w:cstheme="minorHAnsi"/>
        </w:rPr>
        <w:t xml:space="preserve">, Bruylant, 2014, 168-169; VAN DEN EEDEN E., ‘Rol van de bewindvoerder’ in </w:t>
      </w:r>
      <w:r w:rsidRPr="00314F31">
        <w:rPr>
          <w:rFonts w:cstheme="minorHAnsi"/>
        </w:rPr>
        <w:t>ROTTHIER K., WUYTS T.</w:t>
      </w:r>
      <w:r w:rsidR="00314F31" w:rsidRPr="00314F31">
        <w:rPr>
          <w:rFonts w:cstheme="minorHAnsi"/>
        </w:rPr>
        <w:t xml:space="preserve">, </w:t>
      </w:r>
      <w:r w:rsidRPr="00314F31">
        <w:rPr>
          <w:rFonts w:cstheme="minorHAnsi"/>
        </w:rPr>
        <w:t>VAN DEN EEDEN E</w:t>
      </w:r>
      <w:r w:rsidRPr="00325440">
        <w:rPr>
          <w:rFonts w:cstheme="minorHAnsi"/>
        </w:rPr>
        <w:t>.</w:t>
      </w:r>
      <w:r w:rsidR="00314F31">
        <w:rPr>
          <w:rFonts w:cstheme="minorHAnsi"/>
        </w:rPr>
        <w:t xml:space="preserve"> en BOGAERT J.</w:t>
      </w:r>
      <w:r w:rsidRPr="00325440">
        <w:rPr>
          <w:rFonts w:cstheme="minorHAnsi"/>
        </w:rPr>
        <w:t xml:space="preserve">, </w:t>
      </w:r>
      <w:r w:rsidRPr="00325440">
        <w:rPr>
          <w:rFonts w:cstheme="minorHAnsi"/>
          <w:i/>
          <w:iCs/>
        </w:rPr>
        <w:t>Handboek bescherming wilsonbekwamen. Zorgvolmacht en bewind na de wet van 21 december 2018</w:t>
      </w:r>
      <w:r w:rsidRPr="00325440">
        <w:rPr>
          <w:rFonts w:cstheme="minorHAnsi"/>
        </w:rPr>
        <w:t>, Kluwer, 2020, (301) 376.</w:t>
      </w:r>
    </w:p>
  </w:footnote>
  <w:footnote w:id="25">
    <w:p w14:paraId="5A181D53" w14:textId="77777777" w:rsidR="00DB3C70" w:rsidRPr="00325440" w:rsidRDefault="00DB3C70"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Art. 35 wet 21 december 2018 houdende diverse bepalingen betreffende justitie, </w:t>
      </w:r>
      <w:r w:rsidRPr="00325440">
        <w:rPr>
          <w:rFonts w:cstheme="minorHAnsi"/>
          <w:i/>
          <w:iCs/>
        </w:rPr>
        <w:t xml:space="preserve">BS </w:t>
      </w:r>
      <w:r w:rsidRPr="00325440">
        <w:rPr>
          <w:rFonts w:cstheme="minorHAnsi"/>
        </w:rPr>
        <w:t>31 december 2018; MvT bij wetsontwerp houdende diverse bepalingen inzake burgerlijk recht en tot vereenvoudiging van de bepalingen van het Burgerlijk Wetboek en het Gerechtelijk Wetboek betreffende de onbekwaamheid, en de wet van 17 maart 2013 tot hervorming van de regelingen inzake onbekwaamheid en tot instelling van een nieuwe beschermingsstatus die strookt met de menselijke waardigheid, KAMER, 2017-2018, 8 oktober 2018, nr. 54-3303/1, 39-40.</w:t>
      </w:r>
    </w:p>
  </w:footnote>
  <w:footnote w:id="26">
    <w:p w14:paraId="4B0AA31A" w14:textId="77777777" w:rsidR="003B3CAF" w:rsidRPr="00325440" w:rsidRDefault="003B3CAF"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w:t>
      </w:r>
      <w:r w:rsidRPr="00325440">
        <w:rPr>
          <w:rFonts w:eastAsia="Verdana" w:cstheme="minorHAnsi"/>
        </w:rPr>
        <w:t xml:space="preserve">Zie art. 499/6 oud BW </w:t>
      </w:r>
      <w:r w:rsidRPr="00325440">
        <w:rPr>
          <w:rFonts w:eastAsia="Verdana" w:cstheme="minorHAnsi"/>
          <w:i/>
          <w:iCs/>
        </w:rPr>
        <w:t>juncto</w:t>
      </w:r>
      <w:r w:rsidRPr="00325440">
        <w:rPr>
          <w:rFonts w:eastAsia="Verdana" w:cstheme="minorHAnsi"/>
        </w:rPr>
        <w:t xml:space="preserve"> art. 500/1 oud BW; </w:t>
      </w:r>
      <w:r w:rsidRPr="00325440">
        <w:rPr>
          <w:rFonts w:cstheme="minorHAnsi"/>
        </w:rPr>
        <w:t xml:space="preserve">MOSSELMANS S. en VAN THIENEN A., ‘Art. 500/1 oud BW’ in </w:t>
      </w:r>
      <w:r w:rsidRPr="00325440">
        <w:rPr>
          <w:rFonts w:cstheme="minorHAnsi"/>
          <w:i/>
          <w:iCs/>
        </w:rPr>
        <w:t>Comm.Pers</w:t>
      </w:r>
      <w:r w:rsidRPr="00325440">
        <w:rPr>
          <w:rFonts w:cstheme="minorHAnsi"/>
        </w:rPr>
        <w:t>., Kluwer, 2015, 1-2.</w:t>
      </w:r>
    </w:p>
  </w:footnote>
  <w:footnote w:id="27">
    <w:p w14:paraId="56C76F19" w14:textId="77777777" w:rsidR="003B3CAF" w:rsidRPr="00325440" w:rsidRDefault="003B3CAF" w:rsidP="00325440">
      <w:pPr>
        <w:pStyle w:val="Voetnoottekst"/>
        <w:jc w:val="both"/>
        <w:rPr>
          <w:rFonts w:cstheme="minorHAnsi"/>
          <w:lang w:val="fr-FR"/>
        </w:rPr>
      </w:pPr>
      <w:r w:rsidRPr="00325440">
        <w:rPr>
          <w:rStyle w:val="Voetnootmarkering"/>
          <w:rFonts w:cstheme="minorHAnsi"/>
        </w:rPr>
        <w:footnoteRef/>
      </w:r>
      <w:r w:rsidRPr="00325440">
        <w:rPr>
          <w:rFonts w:cstheme="minorHAnsi"/>
          <w:lang w:val="fr-FR"/>
        </w:rPr>
        <w:t xml:space="preserve"> DEGUEL F., ‘Pot-pourri pour les personnes majeures protégées’, </w:t>
      </w:r>
      <w:r w:rsidRPr="00325440">
        <w:rPr>
          <w:rFonts w:cstheme="minorHAnsi"/>
          <w:i/>
          <w:iCs/>
          <w:lang w:val="fr-FR"/>
        </w:rPr>
        <w:t>JT</w:t>
      </w:r>
      <w:r w:rsidRPr="00325440">
        <w:rPr>
          <w:rFonts w:cstheme="minorHAnsi"/>
          <w:lang w:val="fr-FR"/>
        </w:rPr>
        <w:t xml:space="preserve"> 2019/19, (369) 277-378.</w:t>
      </w:r>
    </w:p>
  </w:footnote>
  <w:footnote w:id="28">
    <w:p w14:paraId="6B7A35A3" w14:textId="777B3608" w:rsidR="003B3CAF" w:rsidRPr="00325440" w:rsidRDefault="003B3CAF"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A</w:t>
      </w:r>
      <w:r w:rsidRPr="00325440">
        <w:rPr>
          <w:rFonts w:eastAsia="Verdana" w:cstheme="minorHAnsi"/>
        </w:rPr>
        <w:t xml:space="preserve">rt. 500/2 oud BW; </w:t>
      </w:r>
      <w:r w:rsidRPr="00325440">
        <w:rPr>
          <w:rFonts w:cstheme="minorHAnsi"/>
        </w:rPr>
        <w:t xml:space="preserve">MvT bij wetsvoorstel tot invoering van een globaal beschermingsstatuut voor meerderjarige wilsonbekwame personen, KAMER, 2010-2011, 11 januari 2011, nr. 53-1009/1, 60; </w:t>
      </w:r>
      <w:r w:rsidR="00184AFA" w:rsidRPr="00325440">
        <w:rPr>
          <w:rFonts w:cstheme="minorHAnsi"/>
        </w:rPr>
        <w:t xml:space="preserve">Verslag </w:t>
      </w:r>
      <w:r w:rsidR="00184AFA">
        <w:rPr>
          <w:rFonts w:cstheme="minorHAnsi"/>
        </w:rPr>
        <w:t>namens de Commissie voor de Justitie (BROTCORNE en VAN HECKE) bij wetsvoorstel tot invoering van een globaal beschermingsstatuut voor meerderjarige wilsonbekwame personen en bij wetsvoorstel tot instelling van een algemene regeling van voorlopig bewind over goederen en personen</w:t>
      </w:r>
      <w:r w:rsidRPr="00325440">
        <w:rPr>
          <w:rFonts w:cstheme="minorHAnsi"/>
        </w:rPr>
        <w:t xml:space="preserve">, KAMER, 2011-2012, 16 juli 2012, nr. 53-1009/10, 89-90; GALLUS N., ‘Section 4. Protection judiciaire de la personne’ in RENCHON J.-L. (ed.), </w:t>
      </w:r>
      <w:r w:rsidRPr="00325440">
        <w:rPr>
          <w:rFonts w:cstheme="minorHAnsi"/>
          <w:i/>
          <w:iCs/>
        </w:rPr>
        <w:t xml:space="preserve">Etats généraux du droit de la famille, </w:t>
      </w:r>
      <w:r w:rsidRPr="00325440">
        <w:rPr>
          <w:rFonts w:cstheme="minorHAnsi"/>
        </w:rPr>
        <w:t xml:space="preserve">Bruylant, 2014, (47) 58-59; SCHEERS D. en SCHEERS C., ‘De vrederechter, de bewindvoerder en het bewind: een jaar later. In de beperking kent men de meester’, </w:t>
      </w:r>
      <w:r w:rsidRPr="00325440">
        <w:rPr>
          <w:rFonts w:cstheme="minorHAnsi"/>
          <w:i/>
          <w:iCs/>
        </w:rPr>
        <w:t>T.Vred.</w:t>
      </w:r>
      <w:r w:rsidRPr="00325440">
        <w:rPr>
          <w:rFonts w:cstheme="minorHAnsi"/>
        </w:rPr>
        <w:t xml:space="preserve"> 2015/7-8, (273) 285.</w:t>
      </w:r>
    </w:p>
  </w:footnote>
  <w:footnote w:id="29">
    <w:p w14:paraId="4A689A09" w14:textId="77777777" w:rsidR="003B3CAF" w:rsidRPr="00325440" w:rsidRDefault="003B3CAF"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SCHEERS D. en WUYTS T., </w:t>
      </w:r>
      <w:r w:rsidRPr="00325440">
        <w:rPr>
          <w:rFonts w:cstheme="minorHAnsi"/>
          <w:i/>
          <w:iCs/>
        </w:rPr>
        <w:t>De vrederechter en het bewind</w:t>
      </w:r>
      <w:r w:rsidRPr="00325440">
        <w:rPr>
          <w:rFonts w:cstheme="minorHAnsi"/>
        </w:rPr>
        <w:t>, Intersentia, 2014, 309.</w:t>
      </w:r>
    </w:p>
  </w:footnote>
  <w:footnote w:id="30">
    <w:p w14:paraId="29EA33CC" w14:textId="3BC9DAA2" w:rsidR="003B3CAF" w:rsidRPr="00325440" w:rsidRDefault="003B3CAF"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VAN DEN EEDEN E., ‘Rol van de bewindvoerder’ in ROTTHIER K., WUYTS T.</w:t>
      </w:r>
      <w:r w:rsidR="00314F31">
        <w:rPr>
          <w:rFonts w:cstheme="minorHAnsi"/>
        </w:rPr>
        <w:t xml:space="preserve">, </w:t>
      </w:r>
      <w:r w:rsidRPr="00325440">
        <w:rPr>
          <w:rFonts w:cstheme="minorHAnsi"/>
        </w:rPr>
        <w:t>VAN DEN EEDEN E.</w:t>
      </w:r>
      <w:r w:rsidR="00314F31">
        <w:rPr>
          <w:rFonts w:cstheme="minorHAnsi"/>
        </w:rPr>
        <w:t xml:space="preserve"> en BOGAERT J.</w:t>
      </w:r>
      <w:r w:rsidRPr="00325440">
        <w:rPr>
          <w:rFonts w:cstheme="minorHAnsi"/>
        </w:rPr>
        <w:t xml:space="preserve">, </w:t>
      </w:r>
      <w:r w:rsidRPr="00325440">
        <w:rPr>
          <w:rFonts w:cstheme="minorHAnsi"/>
          <w:i/>
          <w:iCs/>
        </w:rPr>
        <w:t>Handboek bescherming wilsonbekwamen. Zorgvolmacht en bewind na de wet van 21 december 2018</w:t>
      </w:r>
      <w:r w:rsidRPr="00325440">
        <w:rPr>
          <w:rFonts w:cstheme="minorHAnsi"/>
        </w:rPr>
        <w:t>, Kluwer, 2020, (301) 399.</w:t>
      </w:r>
    </w:p>
  </w:footnote>
  <w:footnote w:id="31">
    <w:p w14:paraId="0483618E" w14:textId="4065DE8C" w:rsidR="00404043" w:rsidRPr="00325440" w:rsidRDefault="00404043" w:rsidP="00325440">
      <w:pPr>
        <w:pStyle w:val="Voetnoottekst"/>
        <w:jc w:val="both"/>
        <w:rPr>
          <w:rFonts w:cstheme="minorHAnsi"/>
          <w:lang w:val="en-US"/>
        </w:rPr>
      </w:pPr>
      <w:r w:rsidRPr="00325440">
        <w:rPr>
          <w:rStyle w:val="Voetnootmarkering"/>
          <w:rFonts w:cstheme="minorHAnsi"/>
        </w:rPr>
        <w:footnoteRef/>
      </w:r>
      <w:r w:rsidRPr="00325440">
        <w:rPr>
          <w:rFonts w:cstheme="minorHAnsi"/>
        </w:rPr>
        <w:t xml:space="preserve"> Zie Vred. </w:t>
      </w:r>
      <w:r w:rsidRPr="00325440">
        <w:rPr>
          <w:rFonts w:cstheme="minorHAnsi"/>
          <w:lang w:val="en-US"/>
        </w:rPr>
        <w:t xml:space="preserve">Torhout 15 mei 2025, </w:t>
      </w:r>
      <w:r w:rsidRPr="00325440">
        <w:rPr>
          <w:rFonts w:cstheme="minorHAnsi"/>
          <w:i/>
          <w:iCs/>
          <w:lang w:val="en-US"/>
        </w:rPr>
        <w:t>T.Vred.</w:t>
      </w:r>
      <w:r w:rsidRPr="00325440">
        <w:rPr>
          <w:rFonts w:cstheme="minorHAnsi"/>
          <w:lang w:val="en-US"/>
        </w:rPr>
        <w:t xml:space="preserve"> 2025/9-10, 613, noot JANS A.</w:t>
      </w:r>
    </w:p>
  </w:footnote>
  <w:footnote w:id="32">
    <w:p w14:paraId="4FCE1D6E" w14:textId="3D8ED215"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Art. 233 wet 17 maart 2013 tot hervorming van de regelingen inzake onbekwaamheid en tot instelling van een nieuwe beschermingsstatus die strookt met de menselijke waardigheid, </w:t>
      </w:r>
      <w:r w:rsidRPr="00325440">
        <w:rPr>
          <w:rFonts w:cstheme="minorHAnsi"/>
          <w:i/>
          <w:iCs/>
        </w:rPr>
        <w:t xml:space="preserve">BS </w:t>
      </w:r>
      <w:r w:rsidRPr="00325440">
        <w:rPr>
          <w:rFonts w:cstheme="minorHAnsi"/>
        </w:rPr>
        <w:t>14 juni 2013</w:t>
      </w:r>
      <w:r w:rsidR="00184AFA">
        <w:rPr>
          <w:rFonts w:cstheme="minorHAnsi"/>
        </w:rPr>
        <w:t>: “Deze wet treedt in werking op 1 september 2014”.</w:t>
      </w:r>
    </w:p>
  </w:footnote>
  <w:footnote w:id="33">
    <w:p w14:paraId="314BF4E8" w14:textId="7D869C0F"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w:t>
      </w:r>
      <w:r w:rsidR="00184AFA">
        <w:rPr>
          <w:rFonts w:cstheme="minorHAnsi"/>
        </w:rPr>
        <w:t xml:space="preserve">Art. 228 wet 17 maart 2013 tot hervorming van de regelingen inzake onbekwaamheid en tot instelling van een nieuwe beschermingsstatus die strookt met de menselijke waardigheid, </w:t>
      </w:r>
      <w:r w:rsidR="00184AFA">
        <w:rPr>
          <w:rFonts w:cstheme="minorHAnsi"/>
          <w:i/>
          <w:iCs/>
        </w:rPr>
        <w:t xml:space="preserve">BS </w:t>
      </w:r>
      <w:r w:rsidR="00184AFA">
        <w:rPr>
          <w:rFonts w:cstheme="minorHAnsi"/>
        </w:rPr>
        <w:t>14 juni 2013: “uiterlijk vijf jaar te rekenen van de inwerkingtreding van deze wet, worden de bewindvoeringen die voor de inwerkingtreding van deze wet geregeld waren (…) van rechtswege onderworpen aan de bepalingen betreffende het bewind van de goederen (…)”; z</w:t>
      </w:r>
      <w:r w:rsidRPr="00325440">
        <w:rPr>
          <w:rFonts w:cstheme="minorHAnsi"/>
        </w:rPr>
        <w:t xml:space="preserve">ie WUYTS T., </w:t>
      </w:r>
      <w:r w:rsidRPr="00325440">
        <w:rPr>
          <w:rFonts w:cstheme="minorHAnsi"/>
          <w:i/>
          <w:iCs/>
        </w:rPr>
        <w:t>De nieuwe wet op het bewind</w:t>
      </w:r>
      <w:r w:rsidRPr="00325440">
        <w:rPr>
          <w:rFonts w:cstheme="minorHAnsi"/>
        </w:rPr>
        <w:t xml:space="preserve">, Kluwer, 2014, 53; SCHEERS D. en WUYTS T., </w:t>
      </w:r>
      <w:r w:rsidRPr="00325440">
        <w:rPr>
          <w:rFonts w:cstheme="minorHAnsi"/>
          <w:i/>
          <w:iCs/>
        </w:rPr>
        <w:t>De vrederechter en het bewind</w:t>
      </w:r>
      <w:r w:rsidRPr="00325440">
        <w:rPr>
          <w:rFonts w:cstheme="minorHAnsi"/>
        </w:rPr>
        <w:t xml:space="preserve">, Intersentia, 2014, 67-68; WUYTS T., ‘Een jaar toepassing van het eengemaakte beschermingsstatuut. Een tussentijdse evaluatie en aanbevelingen tot bijsturing waar nodig’ in DAMBRE M. en LECOCQ P. (eds.), </w:t>
      </w:r>
      <w:r w:rsidRPr="00325440">
        <w:rPr>
          <w:rFonts w:cstheme="minorHAnsi"/>
          <w:i/>
          <w:iCs/>
        </w:rPr>
        <w:t>Rechtskroniek voor de Vrede- en Politierechters 2015</w:t>
      </w:r>
      <w:r w:rsidRPr="00325440">
        <w:rPr>
          <w:rFonts w:cstheme="minorHAnsi"/>
        </w:rPr>
        <w:t>, die Keure, 2015, (1) 8-9.</w:t>
      </w:r>
    </w:p>
  </w:footnote>
  <w:footnote w:id="34">
    <w:p w14:paraId="70C309E3" w14:textId="6AC830E1" w:rsidR="00076213" w:rsidRPr="00184AFA" w:rsidRDefault="00076213">
      <w:pPr>
        <w:pStyle w:val="Voetnoottekst"/>
      </w:pPr>
      <w:r>
        <w:rPr>
          <w:rStyle w:val="Voetnootmarkering"/>
        </w:rPr>
        <w:footnoteRef/>
      </w:r>
      <w:r w:rsidRPr="00184AFA">
        <w:t xml:space="preserve"> Zie Vred. Brugge (I) 25 september 2024, </w:t>
      </w:r>
      <w:r w:rsidRPr="00184AFA">
        <w:rPr>
          <w:i/>
          <w:iCs/>
        </w:rPr>
        <w:t xml:space="preserve">T.Fam. </w:t>
      </w:r>
      <w:r w:rsidRPr="00184AFA">
        <w:t>2025/6, 204-211, noot JANS A.</w:t>
      </w:r>
    </w:p>
  </w:footnote>
  <w:footnote w:id="35">
    <w:p w14:paraId="328883B4" w14:textId="77777777" w:rsidR="003B3CAF" w:rsidRPr="00325440" w:rsidRDefault="003B3CAF"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MvT bij wetsvoorstel tot invoering van een globaal beschermingsstatuut voor meerderjarige wilsonbekwame personen, KAMER, 2010-2011, 11 januari 2011, nr. 53-1009/1, 11-12 en 60; hetzelfde geldt voor pleegouders, zie Vred. Landen-Zoutleeuw (zetel Landen) 24 oktober 2019, </w:t>
      </w:r>
      <w:r w:rsidRPr="00325440">
        <w:rPr>
          <w:rFonts w:cstheme="minorHAnsi"/>
          <w:i/>
          <w:iCs/>
        </w:rPr>
        <w:t>T.Vred.</w:t>
      </w:r>
      <w:r w:rsidRPr="00325440">
        <w:rPr>
          <w:rFonts w:cstheme="minorHAnsi"/>
        </w:rPr>
        <w:t xml:space="preserve"> 2020/5-6, (317) 319.</w:t>
      </w:r>
    </w:p>
  </w:footnote>
  <w:footnote w:id="36">
    <w:p w14:paraId="10AD005F" w14:textId="77777777"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MvT bij wetsvoorstel tot invoering van een globaal beschermingsstatuut voor meerderjarige wilsonbekwame personen, KAMER, 2010-2011, 11 januari 2011, nr. 53-1009/1, 12-13 en 60; SCHEERS D. en SCHEERS C., </w:t>
      </w:r>
      <w:r w:rsidRPr="00325440">
        <w:rPr>
          <w:rFonts w:cstheme="minorHAnsi"/>
          <w:i/>
          <w:iCs/>
        </w:rPr>
        <w:t xml:space="preserve">Bewind 2.0. Artikelsgewijze commentaar bescherming meerderjarige personen na de wet van 21 december 2018, </w:t>
      </w:r>
      <w:r w:rsidRPr="00325440">
        <w:rPr>
          <w:rFonts w:cstheme="minorHAnsi"/>
        </w:rPr>
        <w:t xml:space="preserve">Intersentia, 2019, 96-97; VANDERHULST V., </w:t>
      </w:r>
      <w:r w:rsidRPr="00325440">
        <w:rPr>
          <w:rFonts w:cstheme="minorHAnsi"/>
          <w:i/>
          <w:iCs/>
        </w:rPr>
        <w:t>Zorgplanning voor meerderjarige zorgenkinderen. Persoonsrechtelijke, familiaal(vermogens)rechtelijke en sociaalrechtelijke aspecten</w:t>
      </w:r>
      <w:r w:rsidRPr="00325440">
        <w:rPr>
          <w:rFonts w:cstheme="minorHAnsi"/>
        </w:rPr>
        <w:t xml:space="preserve">, Kluwer, 2024, 685-686; DEGUEL F., ‘La loi du 17 mars 2013 réformant les régimes d’incapacité et instaurant un nouveau statut de protection conforme à la dignité humaine: vers un simplification’, </w:t>
      </w:r>
      <w:r w:rsidRPr="00325440">
        <w:rPr>
          <w:rFonts w:cstheme="minorHAnsi"/>
          <w:i/>
          <w:iCs/>
        </w:rPr>
        <w:t>TBBR</w:t>
      </w:r>
      <w:r w:rsidRPr="00325440">
        <w:rPr>
          <w:rFonts w:cstheme="minorHAnsi"/>
        </w:rPr>
        <w:t xml:space="preserve"> 2013/6, (290) 309; SCHEERS D. en SCHEERS C., ‘De vrederechter, de bewindvoerder en het bewind: een jaar later. In de beperking kent men de meester’</w:t>
      </w:r>
      <w:r w:rsidRPr="00184AFA">
        <w:rPr>
          <w:rFonts w:cstheme="minorHAnsi"/>
        </w:rPr>
        <w:t xml:space="preserve">, </w:t>
      </w:r>
      <w:r w:rsidRPr="00325440">
        <w:rPr>
          <w:rFonts w:cstheme="minorHAnsi"/>
          <w:i/>
          <w:iCs/>
        </w:rPr>
        <w:t>T.Vred.</w:t>
      </w:r>
      <w:r w:rsidRPr="00325440">
        <w:rPr>
          <w:rFonts w:cstheme="minorHAnsi"/>
        </w:rPr>
        <w:t xml:space="preserve"> 2015/7-8, (273) 285.</w:t>
      </w:r>
    </w:p>
  </w:footnote>
  <w:footnote w:id="37">
    <w:p w14:paraId="58D509A1" w14:textId="6F18A099" w:rsidR="00076213" w:rsidRDefault="00076213" w:rsidP="00076213">
      <w:pPr>
        <w:pStyle w:val="Voetnoottekst"/>
        <w:jc w:val="both"/>
      </w:pPr>
      <w:r>
        <w:rPr>
          <w:rStyle w:val="Voetnootmarkering"/>
        </w:rPr>
        <w:footnoteRef/>
      </w:r>
      <w:r>
        <w:t xml:space="preserve"> Zie </w:t>
      </w:r>
      <w:r w:rsidRPr="00294792">
        <w:t xml:space="preserve">WUYTS T., DANDOY N., SWENNEN F., HENNAU S., HACON M. en JEURISSEN L., ‘Evaluatie van de wet van 17 maart 2013 tot hervorming van de regelingen inzake onbekwaamheid en tot instelling van een nieuwe beschermingsstatus die strookt met de menselijke waardigheid. Eindrapport’, studie uitgevoerd in opdracht van de FOD Justitie overeenkomstig artikel 224 wet 17 maart 2013, juni 2024, </w:t>
      </w:r>
      <w:r>
        <w:t>144 en 151, nr. 313 en nr. 331</w:t>
      </w:r>
      <w:r w:rsidR="00184AFA">
        <w:t xml:space="preserve">, </w:t>
      </w:r>
      <w:hyperlink r:id="rId2" w:history="1">
        <w:r w:rsidR="00184AFA" w:rsidRPr="00062837">
          <w:rPr>
            <w:rStyle w:val="Hyperlink"/>
            <w:rFonts w:cstheme="minorHAnsi"/>
          </w:rPr>
          <w:t>www.justitie.belgium.be/nl/publicaties/evaluatie_van_de_wet_van_17_maart_2013</w:t>
        </w:r>
      </w:hyperlink>
      <w:r w:rsidR="00184AFA">
        <w:rPr>
          <w:rFonts w:cstheme="minorHAnsi"/>
        </w:rPr>
        <w:t xml:space="preserve"> (geraadpleegd op 20 maart 2026</w:t>
      </w:r>
      <w:r w:rsidR="00184AFA">
        <w:rPr>
          <w:rFonts w:cstheme="minorHAnsi"/>
        </w:rPr>
        <w:t>)</w:t>
      </w:r>
      <w:r>
        <w:t>.</w:t>
      </w:r>
    </w:p>
  </w:footnote>
  <w:footnote w:id="38">
    <w:p w14:paraId="5C658F6D" w14:textId="77777777" w:rsidR="00325440" w:rsidRPr="00325440" w:rsidRDefault="00325440"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MvT bij wetsvoorstel tot invoering van een globaal beschermingsstatuut voor meerderjarige wilsonbekwame personen, KAMER, 2011-2012, 11 januari 2011, nr. 53-1009/1, 60-61; KONING BOUDEWIJNSTICHTING, </w:t>
      </w:r>
      <w:r w:rsidRPr="00325440">
        <w:rPr>
          <w:rFonts w:cstheme="minorHAnsi"/>
          <w:i/>
          <w:iCs/>
        </w:rPr>
        <w:t>Praktische gids voor familiale bewindvoerders</w:t>
      </w:r>
      <w:r w:rsidRPr="00325440">
        <w:rPr>
          <w:rFonts w:cstheme="minorHAnsi"/>
        </w:rPr>
        <w:t xml:space="preserve">, 2022, 23, </w:t>
      </w:r>
      <w:hyperlink r:id="rId3" w:history="1">
        <w:r w:rsidRPr="00325440">
          <w:rPr>
            <w:rStyle w:val="Hyperlink"/>
            <w:rFonts w:cstheme="minorHAnsi"/>
            <w:iCs/>
          </w:rPr>
          <w:t>www.kbs-frb.be/nl/praktische-gids-voor-familiale-bewindvoerders</w:t>
        </w:r>
      </w:hyperlink>
      <w:r w:rsidRPr="00325440">
        <w:rPr>
          <w:rFonts w:cstheme="minorHAnsi"/>
        </w:rPr>
        <w:t xml:space="preserve"> (geraadpleegd op 6 februari 2025).</w:t>
      </w:r>
    </w:p>
  </w:footnote>
  <w:footnote w:id="39">
    <w:p w14:paraId="32FBAF19" w14:textId="77777777" w:rsidR="006F7B6A" w:rsidRPr="00325440" w:rsidRDefault="006F7B6A" w:rsidP="00325440">
      <w:pPr>
        <w:pStyle w:val="Voetnoottekst"/>
        <w:jc w:val="both"/>
        <w:rPr>
          <w:rFonts w:cstheme="minorHAnsi"/>
          <w:lang w:val="en-US"/>
        </w:rPr>
      </w:pPr>
      <w:r w:rsidRPr="00325440">
        <w:rPr>
          <w:rStyle w:val="Voetnootmarkering"/>
          <w:rFonts w:cstheme="minorHAnsi"/>
        </w:rPr>
        <w:footnoteRef/>
      </w:r>
      <w:r w:rsidRPr="00184AFA">
        <w:rPr>
          <w:rFonts w:cstheme="minorHAnsi"/>
          <w:lang w:val="en-GB"/>
        </w:rPr>
        <w:t xml:space="preserve"> Vred. </w:t>
      </w:r>
      <w:r w:rsidRPr="00325440">
        <w:rPr>
          <w:rFonts w:cstheme="minorHAnsi"/>
          <w:lang w:val="en-US"/>
        </w:rPr>
        <w:t xml:space="preserve">Brugge (I) 25 september 2024, </w:t>
      </w:r>
      <w:r w:rsidRPr="00325440">
        <w:rPr>
          <w:rFonts w:cstheme="minorHAnsi"/>
          <w:i/>
          <w:iCs/>
          <w:lang w:val="en-US"/>
        </w:rPr>
        <w:t>T.Fam.</w:t>
      </w:r>
      <w:r w:rsidRPr="00325440">
        <w:rPr>
          <w:rFonts w:cstheme="minorHAnsi"/>
          <w:lang w:val="en-US"/>
        </w:rPr>
        <w:t xml:space="preserve"> 2025/6, 204, noot JANS A.</w:t>
      </w:r>
    </w:p>
  </w:footnote>
  <w:footnote w:id="40">
    <w:p w14:paraId="6A8E2173" w14:textId="6CC25398" w:rsidR="000A5D2B" w:rsidRPr="00325440" w:rsidRDefault="000A5D2B" w:rsidP="00325440">
      <w:pPr>
        <w:pStyle w:val="Voetnoottekst"/>
        <w:jc w:val="both"/>
        <w:rPr>
          <w:rFonts w:cstheme="minorHAnsi"/>
          <w:lang w:val="fr-FR"/>
        </w:rPr>
      </w:pPr>
      <w:r w:rsidRPr="00325440">
        <w:rPr>
          <w:rStyle w:val="Voetnootmarkering"/>
          <w:rFonts w:cstheme="minorHAnsi"/>
        </w:rPr>
        <w:footnoteRef/>
      </w:r>
      <w:r w:rsidRPr="00325440">
        <w:rPr>
          <w:rFonts w:cstheme="minorHAnsi"/>
        </w:rPr>
        <w:t xml:space="preserve"> Zie WUYTS T., DANDOY N., SWENNEN F., HENNAU S., HACON M. en JEURISSEN L., ‘Evaluatie van de wet van 17 maart 2013 tot hervorming van de regelingen inzake onbekwaamheid en tot instelling van een nieuwe beschermingsstatus die strookt met de menselijke waardigheid. Eindrapport’, studie uitgevoerd in opdracht van de FOD Justitie overeenkomstig artikel 224 wet 17 maart 2013, juni 2024, 106-207: ‘rechterlijke bescherming’</w:t>
      </w:r>
      <w:r w:rsidR="00184AFA">
        <w:rPr>
          <w:rFonts w:cstheme="minorHAnsi"/>
        </w:rPr>
        <w:t xml:space="preserve">, </w:t>
      </w:r>
      <w:hyperlink r:id="rId4" w:history="1">
        <w:r w:rsidR="00184AFA" w:rsidRPr="00062837">
          <w:rPr>
            <w:rStyle w:val="Hyperlink"/>
            <w:rFonts w:cstheme="minorHAnsi"/>
          </w:rPr>
          <w:t>www.justitie.belgium.be/nl/publicaties/evaluatie_van_de_wet_van_17_maart_2013</w:t>
        </w:r>
      </w:hyperlink>
      <w:r w:rsidR="00184AFA">
        <w:rPr>
          <w:rFonts w:cstheme="minorHAnsi"/>
        </w:rPr>
        <w:t xml:space="preserve"> (geraadpleegd op 20 maart 2026</w:t>
      </w:r>
      <w:r w:rsidR="00184AFA">
        <w:rPr>
          <w:rFonts w:cstheme="minorHAnsi"/>
        </w:rPr>
        <w:t>)</w:t>
      </w:r>
      <w:r w:rsidR="00325440" w:rsidRPr="00325440">
        <w:rPr>
          <w:rFonts w:cstheme="minorHAnsi"/>
        </w:rPr>
        <w:t xml:space="preserve">; Vraag en antwoord nr. 609 van mevr. </w:t>
      </w:r>
      <w:r w:rsidR="00325440" w:rsidRPr="00325440">
        <w:rPr>
          <w:rFonts w:cstheme="minorHAnsi"/>
          <w:lang w:val="fr-FR"/>
        </w:rPr>
        <w:t xml:space="preserve">HANUS M. van 28 juni 2021, KAMER, 2020-2021, 15 juli 2021, nr. 55-59, 257-260; DEGUEL F., ‘Pot-pourri pour les personnes majeures protégées’, </w:t>
      </w:r>
      <w:r w:rsidR="00325440" w:rsidRPr="00325440">
        <w:rPr>
          <w:rFonts w:cstheme="minorHAnsi"/>
          <w:i/>
          <w:iCs/>
          <w:lang w:val="fr-FR"/>
        </w:rPr>
        <w:t>JT</w:t>
      </w:r>
      <w:r w:rsidR="00325440" w:rsidRPr="00325440">
        <w:rPr>
          <w:rFonts w:cstheme="minorHAnsi"/>
          <w:lang w:val="fr-FR"/>
        </w:rPr>
        <w:t xml:space="preserve"> 2019/19, (369) 377-378.</w:t>
      </w:r>
    </w:p>
  </w:footnote>
  <w:footnote w:id="41">
    <w:p w14:paraId="69A620A0" w14:textId="77777777"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w:t>
      </w:r>
      <w:r w:rsidRPr="00325440">
        <w:rPr>
          <w:rFonts w:cstheme="minorHAnsi"/>
          <w:i/>
          <w:iCs/>
        </w:rPr>
        <w:t>Ibid.</w:t>
      </w:r>
      <w:r w:rsidRPr="00325440">
        <w:rPr>
          <w:rFonts w:cstheme="minorHAnsi"/>
        </w:rPr>
        <w:t>, 143, nr. 313.</w:t>
      </w:r>
    </w:p>
  </w:footnote>
  <w:footnote w:id="42">
    <w:p w14:paraId="253E90E3" w14:textId="77777777"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w:t>
      </w:r>
      <w:r w:rsidRPr="00325440">
        <w:rPr>
          <w:rFonts w:cstheme="minorHAnsi"/>
          <w:i/>
          <w:iCs/>
        </w:rPr>
        <w:t>Ibid</w:t>
      </w:r>
      <w:r w:rsidRPr="00325440">
        <w:rPr>
          <w:rFonts w:cstheme="minorHAnsi"/>
        </w:rPr>
        <w:t>., 144, nr. 314: deze voorbeelden worden in het eindrapport in dalende lijn vernoemd met het laatste voorbeeld als minst voorkomende voorbeeld.</w:t>
      </w:r>
    </w:p>
  </w:footnote>
  <w:footnote w:id="43">
    <w:p w14:paraId="0CF1B999" w14:textId="14426BA1" w:rsidR="00C146D0" w:rsidRPr="00325440" w:rsidRDefault="00C146D0"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MvT bij wetsvoorstel tot invoering van een globaal beschermingsstatuut voor meerderjarige wilsonbekwame personen, KAMER, 2010-2011, 11 januari 2011, nr. 53-1009/1, 12-13 en 60; SCHEERS D. en SCHEERS C., </w:t>
      </w:r>
      <w:r w:rsidRPr="00325440">
        <w:rPr>
          <w:rFonts w:cstheme="minorHAnsi"/>
          <w:i/>
          <w:iCs/>
        </w:rPr>
        <w:t xml:space="preserve">Bewind 2.0. Artikelsgewijze commentaar bescherming meerderjarige personen na de wet van 21 december 2018, </w:t>
      </w:r>
      <w:r w:rsidRPr="00325440">
        <w:rPr>
          <w:rFonts w:cstheme="minorHAnsi"/>
        </w:rPr>
        <w:t xml:space="preserve">Intersentia, 2019, 96-97; VANDERHULST V., </w:t>
      </w:r>
      <w:r w:rsidRPr="00325440">
        <w:rPr>
          <w:rFonts w:cstheme="minorHAnsi"/>
          <w:i/>
          <w:iCs/>
        </w:rPr>
        <w:t>Zorgplanning voor meerderjarige zorgenkinderen. Persoonsrechtelijke, familiaal(vermogens)rechtelijke en sociaalrechtelijke aspecten</w:t>
      </w:r>
      <w:r w:rsidRPr="00325440">
        <w:rPr>
          <w:rFonts w:cstheme="minorHAnsi"/>
        </w:rPr>
        <w:t xml:space="preserve">, Kluwer, 2024, 685-686; DEGUEL F., ‘La loi du 17 mars 2013 réformant les régimes d’incapacité et instaurant un nouveau statut de protection conforme à la dignité humaine: vers un simplification’, </w:t>
      </w:r>
      <w:r w:rsidRPr="00325440">
        <w:rPr>
          <w:rFonts w:cstheme="minorHAnsi"/>
          <w:i/>
          <w:iCs/>
        </w:rPr>
        <w:t>TBBR</w:t>
      </w:r>
      <w:r w:rsidRPr="00325440">
        <w:rPr>
          <w:rFonts w:cstheme="minorHAnsi"/>
        </w:rPr>
        <w:t xml:space="preserve"> 2013/6, (290) 309; SCHEERS D. en SCHEERS C., ‘De vrederechter, de bewindvoerder en het bewind: een jaar later. In de beperking kent men de meester’, </w:t>
      </w:r>
      <w:r w:rsidRPr="00325440">
        <w:rPr>
          <w:rFonts w:cstheme="minorHAnsi"/>
          <w:i/>
          <w:iCs/>
        </w:rPr>
        <w:t>T.Vred.</w:t>
      </w:r>
      <w:r w:rsidRPr="00325440">
        <w:rPr>
          <w:rFonts w:cstheme="minorHAnsi"/>
        </w:rPr>
        <w:t xml:space="preserve"> 2015/7-8, (273) 285.</w:t>
      </w:r>
    </w:p>
  </w:footnote>
  <w:footnote w:id="44">
    <w:p w14:paraId="3114100B" w14:textId="77777777" w:rsidR="00404043" w:rsidRPr="00325440" w:rsidRDefault="00404043"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Art. 98 wet 21 december 2018 houdende diverse bepalingen betreffende justitie, </w:t>
      </w:r>
      <w:r w:rsidRPr="00325440">
        <w:rPr>
          <w:rFonts w:cstheme="minorHAnsi"/>
          <w:i/>
          <w:iCs/>
        </w:rPr>
        <w:t>BS</w:t>
      </w:r>
      <w:r w:rsidRPr="00325440">
        <w:rPr>
          <w:rFonts w:cstheme="minorHAnsi"/>
        </w:rPr>
        <w:t xml:space="preserve"> 31 december 2018; KB 12 februari 2021 houdende de werking van het centraal register van bescherming van de personen, </w:t>
      </w:r>
      <w:r w:rsidRPr="00325440">
        <w:rPr>
          <w:rFonts w:cstheme="minorHAnsi"/>
          <w:i/>
          <w:iCs/>
        </w:rPr>
        <w:t>BS</w:t>
      </w:r>
      <w:r w:rsidRPr="00325440">
        <w:rPr>
          <w:rFonts w:cstheme="minorHAnsi"/>
        </w:rPr>
        <w:t xml:space="preserve"> 15 maart 2021.</w:t>
      </w:r>
    </w:p>
  </w:footnote>
  <w:footnote w:id="45">
    <w:p w14:paraId="69B845A5" w14:textId="77777777" w:rsidR="00404043" w:rsidRPr="00325440" w:rsidRDefault="00404043"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Zie </w:t>
      </w:r>
      <w:r w:rsidRPr="00325440">
        <w:rPr>
          <w:rFonts w:eastAsia="Verdana" w:cstheme="minorHAnsi"/>
        </w:rPr>
        <w:t xml:space="preserve">art. 1249/3, eerste lid en 1253/2 Ger.W.; </w:t>
      </w:r>
      <w:r w:rsidRPr="00325440">
        <w:rPr>
          <w:rFonts w:cstheme="minorHAnsi"/>
        </w:rPr>
        <w:t xml:space="preserve">KB 12 februari 2021 houdende de werking van het centraal register van bescherming van de personen, </w:t>
      </w:r>
      <w:r w:rsidRPr="00325440">
        <w:rPr>
          <w:rFonts w:cstheme="minorHAnsi"/>
          <w:i/>
          <w:iCs/>
        </w:rPr>
        <w:t>BS</w:t>
      </w:r>
      <w:r w:rsidRPr="00325440">
        <w:rPr>
          <w:rFonts w:cstheme="minorHAnsi"/>
        </w:rPr>
        <w:t xml:space="preserve"> 15 maart 2021. Familiale bewindvoerders hebben de keuze om het verslag al dan niet digitaal neer te leggen, maar neerlegging via het CRBP heeft wel de voorkeur, zie bv. de leidraad ‘Bewind leidraad wie wat waarom hoe en wanneer 2022’ van de Vredegerechten Oost-Vlaanderen: </w:t>
      </w:r>
      <w:hyperlink r:id="rId5" w:history="1">
        <w:r w:rsidRPr="00325440">
          <w:rPr>
            <w:rStyle w:val="Hyperlink"/>
            <w:rFonts w:cstheme="minorHAnsi"/>
          </w:rPr>
          <w:t>www.rechtbanken-tribunaux.be/sites/default/files/media/vgjp-prtp/oost-vlaanderen/documents/bewind-leidraad-wie-wat-waarom-hoe-en-wanneer_202211.pdf</w:t>
        </w:r>
      </w:hyperlink>
      <w:r w:rsidRPr="00325440">
        <w:rPr>
          <w:rFonts w:cstheme="minorHAnsi"/>
        </w:rPr>
        <w:t xml:space="preserve"> (geraadpleegd op 6 februari 2025).</w:t>
      </w:r>
    </w:p>
  </w:footnote>
  <w:footnote w:id="46">
    <w:p w14:paraId="7B2E4E41" w14:textId="77777777" w:rsidR="00404043" w:rsidRPr="00325440" w:rsidRDefault="00404043"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Art. 98 wet 21 december 2018 houdende diverse bepalingen betreffende justitie, </w:t>
      </w:r>
      <w:r w:rsidRPr="00325440">
        <w:rPr>
          <w:rFonts w:cstheme="minorHAnsi"/>
          <w:i/>
          <w:iCs/>
        </w:rPr>
        <w:t>BS</w:t>
      </w:r>
      <w:r w:rsidRPr="00325440">
        <w:rPr>
          <w:rFonts w:cstheme="minorHAnsi"/>
        </w:rPr>
        <w:t xml:space="preserve"> 31 december 2018; KB 29 juli 2019 tot vaststelling van de inhoud en de vorm van modellen van verslagen en van vereenvoudigde boekhouding ter uitvoering van de artikelen 498/2, § 4, 499/5, vijfde lid, en 499/14, § 4 van het Burgerlijk Wetboek, </w:t>
      </w:r>
      <w:r w:rsidRPr="00325440">
        <w:rPr>
          <w:rFonts w:cstheme="minorHAnsi"/>
          <w:i/>
          <w:iCs/>
        </w:rPr>
        <w:t>BS</w:t>
      </w:r>
      <w:r w:rsidRPr="00325440">
        <w:rPr>
          <w:rFonts w:cstheme="minorHAnsi"/>
        </w:rPr>
        <w:t xml:space="preserve"> 21 augustus 2019. Dit besluit vervangt het KB van 31 augustus 2014; KB 12 februari 2021 houdende de werking van het centraal register van bescherming van de personen, </w:t>
      </w:r>
      <w:r w:rsidRPr="00325440">
        <w:rPr>
          <w:rFonts w:cstheme="minorHAnsi"/>
          <w:i/>
          <w:iCs/>
        </w:rPr>
        <w:t>BS</w:t>
      </w:r>
      <w:r w:rsidRPr="00325440">
        <w:rPr>
          <w:rFonts w:cstheme="minorHAnsi"/>
        </w:rPr>
        <w:t xml:space="preserve"> 15 maart 2021.</w:t>
      </w:r>
    </w:p>
  </w:footnote>
  <w:footnote w:id="47">
    <w:p w14:paraId="39C8C491" w14:textId="41963756" w:rsidR="00175197" w:rsidRPr="00325440" w:rsidRDefault="00175197"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Zie FRESON I. en JANS A., ‘Bewindvoering in transitie: de impact van de wet van 8 november 2023 betreffende het statuut van bewindvoerder over een beschermde persoon op familiale en professionele bewindvoerders’, </w:t>
      </w:r>
      <w:r w:rsidRPr="00325440">
        <w:rPr>
          <w:rFonts w:cstheme="minorHAnsi"/>
          <w:i/>
          <w:iCs/>
        </w:rPr>
        <w:t>T.Fam.</w:t>
      </w:r>
      <w:r w:rsidRPr="00325440">
        <w:rPr>
          <w:rFonts w:cstheme="minorHAnsi"/>
        </w:rPr>
        <w:t xml:space="preserve"> 2025/6, (185) 201.</w:t>
      </w:r>
    </w:p>
  </w:footnote>
  <w:footnote w:id="48">
    <w:p w14:paraId="2F9BD183" w14:textId="77777777" w:rsidR="00404043" w:rsidRPr="00325440" w:rsidRDefault="00404043"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Zie HAMERLINCK W., HEMBERG G., VANDAMME E. en VANHOUTTE J., </w:t>
      </w:r>
      <w:r w:rsidRPr="00325440">
        <w:rPr>
          <w:rFonts w:cstheme="minorHAnsi"/>
          <w:i/>
          <w:iCs/>
        </w:rPr>
        <w:t>Bewindvoering in de praktijk. Wegwijs in het centraal register van bescherming van de personen (CRBP)</w:t>
      </w:r>
      <w:r w:rsidRPr="00325440">
        <w:rPr>
          <w:rFonts w:cstheme="minorHAnsi"/>
        </w:rPr>
        <w:t>, die Keure, 2023, 94-118.</w:t>
      </w:r>
    </w:p>
  </w:footnote>
  <w:footnote w:id="49">
    <w:p w14:paraId="07C1624A" w14:textId="77777777" w:rsidR="00404043" w:rsidRPr="00325440" w:rsidRDefault="00404043"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Vraag en antwoord nr. 609 van mevr. HANUS M. van 28 juni 2021, KAMER, 2020-2021, 15 juli 2021, nr. 55-59, 257-260.</w:t>
      </w:r>
    </w:p>
  </w:footnote>
  <w:footnote w:id="50">
    <w:p w14:paraId="0D5BD4D7" w14:textId="7BEB14B5"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Zie HAMERLINCK W., HEMBERG G., VANDAMME E. en VANHOUTTE J., </w:t>
      </w:r>
      <w:r w:rsidRPr="00325440">
        <w:rPr>
          <w:rFonts w:cstheme="minorHAnsi"/>
          <w:i/>
          <w:iCs/>
        </w:rPr>
        <w:t>Bewindvoering in de praktijk. Wegwijs in het centraal register van bescherming van de personen (CRBP)</w:t>
      </w:r>
      <w:r w:rsidRPr="00325440">
        <w:rPr>
          <w:rFonts w:cstheme="minorHAnsi"/>
        </w:rPr>
        <w:t xml:space="preserve">, die Keure, 2023, 94-118; STAN – Trefpunt bewindvoering, ‘Actiebrief familiale bewindvoerder’, </w:t>
      </w:r>
      <w:hyperlink r:id="rId6" w:history="1">
        <w:r w:rsidRPr="00325440">
          <w:rPr>
            <w:rStyle w:val="Hyperlink"/>
            <w:rFonts w:cstheme="minorHAnsi"/>
          </w:rPr>
          <w:t>www.trefpuntstan.be/ontmoet-deel/deel-je-verhaal-detail-pagina/2024/03/29/Open-brief-inzake-familiale-bewindvoering</w:t>
        </w:r>
      </w:hyperlink>
      <w:r w:rsidRPr="00325440">
        <w:rPr>
          <w:rFonts w:cstheme="minorHAnsi"/>
        </w:rPr>
        <w:t xml:space="preserve"> (geraadpleegd op </w:t>
      </w:r>
      <w:r w:rsidR="00C146D0" w:rsidRPr="00325440">
        <w:rPr>
          <w:rFonts w:cstheme="minorHAnsi"/>
        </w:rPr>
        <w:t>9</w:t>
      </w:r>
      <w:r w:rsidRPr="00325440">
        <w:rPr>
          <w:rFonts w:cstheme="minorHAnsi"/>
        </w:rPr>
        <w:t xml:space="preserve"> </w:t>
      </w:r>
      <w:r w:rsidR="00C146D0" w:rsidRPr="00325440">
        <w:rPr>
          <w:rFonts w:cstheme="minorHAnsi"/>
        </w:rPr>
        <w:t>januari</w:t>
      </w:r>
      <w:r w:rsidRPr="00325440">
        <w:rPr>
          <w:rFonts w:cstheme="minorHAnsi"/>
        </w:rPr>
        <w:t xml:space="preserve"> 202</w:t>
      </w:r>
      <w:r w:rsidR="00C146D0" w:rsidRPr="00325440">
        <w:rPr>
          <w:rFonts w:cstheme="minorHAnsi"/>
        </w:rPr>
        <w:t>6</w:t>
      </w:r>
      <w:r w:rsidRPr="00325440">
        <w:rPr>
          <w:rFonts w:cstheme="minorHAnsi"/>
        </w:rPr>
        <w:t>).</w:t>
      </w:r>
    </w:p>
  </w:footnote>
  <w:footnote w:id="51">
    <w:p w14:paraId="657A357B" w14:textId="77777777" w:rsidR="00122C8C" w:rsidRPr="00325440" w:rsidRDefault="00122C8C"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Hetzelfde geldt voor pleegouders, zie: Vred. Landen-Zoutleeuw (zetel Landen) 24 oktober 2019, </w:t>
      </w:r>
      <w:r w:rsidRPr="00325440">
        <w:rPr>
          <w:rFonts w:cstheme="minorHAnsi"/>
          <w:i/>
          <w:iCs/>
        </w:rPr>
        <w:t>T.Vred.</w:t>
      </w:r>
      <w:r w:rsidRPr="00325440">
        <w:rPr>
          <w:rFonts w:cstheme="minorHAnsi"/>
        </w:rPr>
        <w:t xml:space="preserve"> 2020/5-6, (317) 317-319.</w:t>
      </w:r>
    </w:p>
  </w:footnote>
  <w:footnote w:id="52">
    <w:p w14:paraId="1C62A998" w14:textId="77777777" w:rsidR="00122C8C" w:rsidRPr="00325440" w:rsidRDefault="00122C8C" w:rsidP="00325440">
      <w:pPr>
        <w:pStyle w:val="Voetnoottekst"/>
        <w:jc w:val="both"/>
        <w:rPr>
          <w:rFonts w:cstheme="minorHAnsi"/>
          <w:lang w:val="en-US"/>
        </w:rPr>
      </w:pPr>
      <w:r w:rsidRPr="00325440">
        <w:rPr>
          <w:rStyle w:val="Voetnootmarkering"/>
          <w:rFonts w:cstheme="minorHAnsi"/>
        </w:rPr>
        <w:footnoteRef/>
      </w:r>
      <w:r w:rsidRPr="00325440">
        <w:rPr>
          <w:rFonts w:cstheme="minorHAnsi"/>
          <w:lang w:val="en-US"/>
        </w:rPr>
        <w:t xml:space="preserve"> Vred. Brugge (I) 25 september 2024, </w:t>
      </w:r>
      <w:r w:rsidRPr="00325440">
        <w:rPr>
          <w:rFonts w:cstheme="minorHAnsi"/>
          <w:i/>
          <w:iCs/>
          <w:lang w:val="en-US"/>
        </w:rPr>
        <w:t xml:space="preserve">T.Fam. </w:t>
      </w:r>
      <w:r w:rsidRPr="00325440">
        <w:rPr>
          <w:rFonts w:cstheme="minorHAnsi"/>
          <w:lang w:val="en-US"/>
        </w:rPr>
        <w:t>2025/6, 204-211, noot JANS A.</w:t>
      </w:r>
    </w:p>
  </w:footnote>
  <w:footnote w:id="53">
    <w:p w14:paraId="1010F401" w14:textId="77777777" w:rsidR="00122C8C" w:rsidRPr="00A4489D" w:rsidRDefault="00122C8C" w:rsidP="00325440">
      <w:pPr>
        <w:pStyle w:val="Voetnoottekst"/>
        <w:jc w:val="both"/>
        <w:rPr>
          <w:rFonts w:cstheme="minorHAnsi"/>
          <w:i/>
          <w:iCs/>
          <w:lang w:val="en-US"/>
        </w:rPr>
      </w:pPr>
      <w:r w:rsidRPr="00325440">
        <w:rPr>
          <w:rStyle w:val="Voetnootmarkering"/>
          <w:rFonts w:cstheme="minorHAnsi"/>
        </w:rPr>
        <w:footnoteRef/>
      </w:r>
      <w:r w:rsidRPr="00A4489D">
        <w:rPr>
          <w:rFonts w:cstheme="minorHAnsi"/>
          <w:lang w:val="en-US"/>
        </w:rPr>
        <w:t xml:space="preserve"> </w:t>
      </w:r>
      <w:r w:rsidRPr="00A4489D">
        <w:rPr>
          <w:rFonts w:cstheme="minorHAnsi"/>
          <w:i/>
          <w:iCs/>
          <w:lang w:val="en-US"/>
        </w:rPr>
        <w:t>Ibid.</w:t>
      </w:r>
    </w:p>
  </w:footnote>
  <w:footnote w:id="54">
    <w:p w14:paraId="47700B61" w14:textId="7D20E4E1" w:rsidR="00404043" w:rsidRPr="00A4489D" w:rsidRDefault="00404043" w:rsidP="00325440">
      <w:pPr>
        <w:pStyle w:val="Voetnoottekst"/>
        <w:jc w:val="both"/>
        <w:rPr>
          <w:rFonts w:cstheme="minorHAnsi"/>
          <w:lang w:val="en-US"/>
        </w:rPr>
      </w:pPr>
      <w:r w:rsidRPr="00325440">
        <w:rPr>
          <w:rStyle w:val="Voetnootmarkering"/>
          <w:rFonts w:cstheme="minorHAnsi"/>
        </w:rPr>
        <w:footnoteRef/>
      </w:r>
      <w:r w:rsidRPr="00A4489D">
        <w:rPr>
          <w:rFonts w:cstheme="minorHAnsi"/>
          <w:lang w:val="en-US"/>
        </w:rPr>
        <w:t xml:space="preserve"> Vred. Torhout 15 mei 2025, </w:t>
      </w:r>
      <w:r w:rsidRPr="00184AFA">
        <w:rPr>
          <w:rFonts w:cstheme="minorHAnsi"/>
          <w:i/>
          <w:iCs/>
          <w:lang w:val="en-US"/>
        </w:rPr>
        <w:t>T.Vred.</w:t>
      </w:r>
      <w:r w:rsidRPr="00A4489D">
        <w:rPr>
          <w:rFonts w:cstheme="minorHAnsi"/>
          <w:lang w:val="en-US"/>
        </w:rPr>
        <w:t xml:space="preserve"> 2025/9-10, 613, noot JANS A.</w:t>
      </w:r>
    </w:p>
  </w:footnote>
  <w:footnote w:id="55">
    <w:p w14:paraId="7B11CD8E" w14:textId="6F09499B" w:rsidR="00122C8C" w:rsidRPr="00325440" w:rsidRDefault="00122C8C"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Zie uitgebreid: DEGUEL F., ‘Pot-pourri pour les personnes majeures protégées’, </w:t>
      </w:r>
      <w:r w:rsidRPr="00325440">
        <w:rPr>
          <w:rFonts w:cstheme="minorHAnsi"/>
          <w:i/>
          <w:iCs/>
        </w:rPr>
        <w:t>JT</w:t>
      </w:r>
      <w:r w:rsidRPr="00325440">
        <w:rPr>
          <w:rFonts w:cstheme="minorHAnsi"/>
        </w:rPr>
        <w:t xml:space="preserve"> 2019/19, (369) 377-378; WUYTS T., DANDOY N., SWENNEN F., HENNAU S., HACON M. en JEURISSEN L., ‘Evaluatie van de wet van 17 maart 2013 tot hervorming van de regelingen inzake onbekwaamheid en tot instelling van een nieuwe beschermingsstatus die strookt met de menselijke waardigheid. Eindrapport’, studie uitgevoerd in opdracht van de FOD Justitie overeenkomstig artikel 224 wet 17 maart 2013, juni 2024, 106-207: ‘rechterlijke bescherming’</w:t>
      </w:r>
      <w:r w:rsidR="00184AFA">
        <w:rPr>
          <w:rFonts w:cstheme="minorHAnsi"/>
        </w:rPr>
        <w:t xml:space="preserve">, </w:t>
      </w:r>
      <w:hyperlink r:id="rId7" w:history="1">
        <w:r w:rsidR="00184AFA" w:rsidRPr="00062837">
          <w:rPr>
            <w:rStyle w:val="Hyperlink"/>
            <w:rFonts w:cstheme="minorHAnsi"/>
          </w:rPr>
          <w:t>www.justitie.belgium.be/nl/publicaties/evaluatie_van_de_wet_van_17_maart_2013</w:t>
        </w:r>
      </w:hyperlink>
      <w:r w:rsidR="00184AFA">
        <w:rPr>
          <w:rFonts w:cstheme="minorHAnsi"/>
        </w:rPr>
        <w:t xml:space="preserve"> (geraadpleegd op 20 maart 2026</w:t>
      </w:r>
      <w:r w:rsidR="00184AFA">
        <w:rPr>
          <w:rFonts w:cstheme="minorHAnsi"/>
        </w:rPr>
        <w:t>)</w:t>
      </w:r>
      <w:r w:rsidRPr="00325440">
        <w:rPr>
          <w:rFonts w:cstheme="minorHAnsi"/>
        </w:rPr>
        <w:t>.</w:t>
      </w:r>
    </w:p>
  </w:footnote>
  <w:footnote w:id="56">
    <w:p w14:paraId="7507A8A9" w14:textId="344FF284" w:rsidR="00122C8C" w:rsidRPr="00325440" w:rsidRDefault="00122C8C"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Vred. Poperinge 5 maart 2024, </w:t>
      </w:r>
      <w:r w:rsidR="00C146D0" w:rsidRPr="00325440">
        <w:rPr>
          <w:rFonts w:cstheme="minorHAnsi"/>
          <w:i/>
          <w:iCs/>
        </w:rPr>
        <w:t xml:space="preserve">T.Vred. </w:t>
      </w:r>
      <w:r w:rsidR="00C146D0" w:rsidRPr="00325440">
        <w:rPr>
          <w:rFonts w:cstheme="minorHAnsi"/>
        </w:rPr>
        <w:t>2025/9-10, 590</w:t>
      </w:r>
      <w:r w:rsidRPr="00325440">
        <w:rPr>
          <w:rFonts w:cstheme="minorHAnsi"/>
        </w:rPr>
        <w:t>.</w:t>
      </w:r>
    </w:p>
  </w:footnote>
  <w:footnote w:id="57">
    <w:p w14:paraId="41DE40C6" w14:textId="12E22538" w:rsidR="00122C8C" w:rsidRPr="00325440" w:rsidRDefault="00122C8C"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Vred. Brugge (III) 12 maart 2025, </w:t>
      </w:r>
      <w:r w:rsidR="00C146D0" w:rsidRPr="00325440">
        <w:rPr>
          <w:rFonts w:cstheme="minorHAnsi"/>
          <w:i/>
          <w:iCs/>
        </w:rPr>
        <w:t>T.Vred</w:t>
      </w:r>
      <w:r w:rsidRPr="00325440">
        <w:rPr>
          <w:rFonts w:cstheme="minorHAnsi"/>
        </w:rPr>
        <w:t>.</w:t>
      </w:r>
      <w:r w:rsidR="00C146D0" w:rsidRPr="00325440">
        <w:rPr>
          <w:rFonts w:cstheme="minorHAnsi"/>
        </w:rPr>
        <w:t xml:space="preserve"> 2025/9-10, 580.</w:t>
      </w:r>
    </w:p>
  </w:footnote>
  <w:footnote w:id="58">
    <w:p w14:paraId="0667BCA2" w14:textId="07C64587" w:rsidR="00122C8C" w:rsidRPr="00325440" w:rsidRDefault="00122C8C"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Vred. Brugge (IV) 9 mei 2025,</w:t>
      </w:r>
      <w:r w:rsidR="00C146D0" w:rsidRPr="00325440">
        <w:rPr>
          <w:rFonts w:cstheme="minorHAnsi"/>
        </w:rPr>
        <w:t xml:space="preserve"> </w:t>
      </w:r>
      <w:r w:rsidR="00C146D0" w:rsidRPr="00325440">
        <w:rPr>
          <w:rFonts w:cstheme="minorHAnsi"/>
          <w:i/>
          <w:iCs/>
        </w:rPr>
        <w:t xml:space="preserve">T.Vred. </w:t>
      </w:r>
      <w:r w:rsidR="00C146D0" w:rsidRPr="00325440">
        <w:rPr>
          <w:rFonts w:cstheme="minorHAnsi"/>
        </w:rPr>
        <w:t>2025/9-10, 581</w:t>
      </w:r>
      <w:r w:rsidRPr="00325440">
        <w:rPr>
          <w:rFonts w:cstheme="minorHAnsi"/>
        </w:rPr>
        <w:t>.</w:t>
      </w:r>
    </w:p>
  </w:footnote>
  <w:footnote w:id="59">
    <w:p w14:paraId="2463D725" w14:textId="77777777"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MvT bij wetsvoorstel tot invoering van een globaal beschermingsstatuut voor meerderjarige wilsonbekwame personen, KAMER, 2011-2012, 11 januari 2011, nr. 53-1009/1, 60-61.</w:t>
      </w:r>
    </w:p>
  </w:footnote>
  <w:footnote w:id="60">
    <w:p w14:paraId="25417318" w14:textId="77777777"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Zie ROTTHIER K., ‘De vrederechter en de rechterlijke bescherming’ in ROTTHIER K., VAN DEN EEDEN E. en BOGAERT J., </w:t>
      </w:r>
      <w:r w:rsidRPr="00325440">
        <w:rPr>
          <w:rFonts w:cstheme="minorHAnsi"/>
          <w:i/>
          <w:iCs/>
        </w:rPr>
        <w:t xml:space="preserve">Handboek bescherming wilsonbekwamen. Zorgvolmacht en bewind na de wet van 21 december 2018, </w:t>
      </w:r>
      <w:r w:rsidRPr="00325440">
        <w:rPr>
          <w:rFonts w:cstheme="minorHAnsi"/>
        </w:rPr>
        <w:t xml:space="preserve">Kluwer, 2020, (185) 211; </w:t>
      </w:r>
      <w:r w:rsidRPr="00325440">
        <w:rPr>
          <w:rFonts w:cstheme="minorHAnsi"/>
          <w:i/>
          <w:iCs/>
        </w:rPr>
        <w:t>contra</w:t>
      </w:r>
      <w:r w:rsidRPr="00325440">
        <w:rPr>
          <w:rFonts w:cstheme="minorHAnsi"/>
        </w:rPr>
        <w:t xml:space="preserve"> SCHEERS D. en SCHEERS C., </w:t>
      </w:r>
      <w:r w:rsidRPr="00325440">
        <w:rPr>
          <w:rFonts w:cstheme="minorHAnsi"/>
          <w:i/>
          <w:iCs/>
        </w:rPr>
        <w:t xml:space="preserve">Bewind 2.0. Artikelsgewijze commentaar bescherming meerderjarige personen na de wet van 21 december 2018, </w:t>
      </w:r>
      <w:r w:rsidRPr="00325440">
        <w:rPr>
          <w:rFonts w:cstheme="minorHAnsi"/>
        </w:rPr>
        <w:t>Intersentia, 2019, 96.</w:t>
      </w:r>
    </w:p>
  </w:footnote>
  <w:footnote w:id="61">
    <w:p w14:paraId="5AE93297" w14:textId="5CA7E9FA" w:rsidR="000A5D2B" w:rsidRPr="00325440" w:rsidRDefault="000A5D2B" w:rsidP="00325440">
      <w:pPr>
        <w:suppressAutoHyphens/>
        <w:jc w:val="both"/>
        <w:rPr>
          <w:rFonts w:cstheme="minorHAnsi"/>
          <w:sz w:val="20"/>
          <w:szCs w:val="20"/>
        </w:rPr>
      </w:pPr>
      <w:r w:rsidRPr="00325440">
        <w:rPr>
          <w:rStyle w:val="Voetnootmarkering"/>
          <w:rFonts w:cstheme="minorHAnsi"/>
          <w:sz w:val="20"/>
          <w:szCs w:val="20"/>
        </w:rPr>
        <w:footnoteRef/>
      </w:r>
      <w:r w:rsidRPr="00325440">
        <w:rPr>
          <w:rFonts w:cstheme="minorHAnsi"/>
          <w:sz w:val="20"/>
          <w:szCs w:val="20"/>
        </w:rPr>
        <w:t xml:space="preserve"> WUYTS T., DANDOY N., SWENNEN F., HENNAU S., HACON M. en JEURISSEN L., ‘Evaluatie van de wet van 17 maart 2013 tot hervorming van de regelingen inzake onbekwaamheid en tot instelling van een nieuwe beschermingsstatus die strookt met de menselijke waardigheid. Eindrapport’, studie uitgevoerd in opdracht van de FOD Justitie overeenkomstig artikel 224 wet 17 maart 2013, juni 2024, 182, nr. 418</w:t>
      </w:r>
      <w:r w:rsidR="00184AFA">
        <w:rPr>
          <w:rFonts w:cstheme="minorHAnsi"/>
          <w:sz w:val="20"/>
          <w:szCs w:val="20"/>
        </w:rPr>
        <w:t xml:space="preserve">, </w:t>
      </w:r>
      <w:hyperlink r:id="rId8" w:history="1">
        <w:r w:rsidR="00184AFA" w:rsidRPr="00062837">
          <w:rPr>
            <w:rStyle w:val="Hyperlink"/>
            <w:rFonts w:cstheme="minorHAnsi"/>
          </w:rPr>
          <w:t>www.justitie.belgium.be/nl/publicaties/evaluatie_van_de_wet_van_17_maart_2013</w:t>
        </w:r>
      </w:hyperlink>
      <w:r w:rsidR="00184AFA">
        <w:rPr>
          <w:rFonts w:cstheme="minorHAnsi"/>
        </w:rPr>
        <w:t xml:space="preserve"> (geraadpleegd op 20 maart 2026</w:t>
      </w:r>
      <w:r w:rsidR="00184AFA">
        <w:rPr>
          <w:rFonts w:cstheme="minorHAnsi"/>
        </w:rPr>
        <w:t>)</w:t>
      </w:r>
      <w:r w:rsidRPr="00325440">
        <w:rPr>
          <w:rFonts w:cstheme="minorHAnsi"/>
          <w:sz w:val="20"/>
          <w:szCs w:val="20"/>
        </w:rPr>
        <w:t>: “(…) merk op dat aan Franstalige kant slechts 10 antwoorden werden geregistreerd op deze vragen: Ouders moeten vrijgesteld worden van alle verslaggevingsplichten: * Ja: NL: 58,13% - FR: 50%, * Nee: NL: 28,04% - FR: 40%, * Geen mening: NL: 13,82% - FR: 10%”.</w:t>
      </w:r>
    </w:p>
  </w:footnote>
  <w:footnote w:id="62">
    <w:p w14:paraId="3522406E" w14:textId="77777777" w:rsidR="000A5D2B" w:rsidRPr="00325440" w:rsidRDefault="000A5D2B" w:rsidP="00325440">
      <w:pPr>
        <w:pStyle w:val="Voetnoottekst"/>
        <w:jc w:val="both"/>
        <w:rPr>
          <w:rFonts w:cstheme="minorHAnsi"/>
        </w:rPr>
      </w:pPr>
      <w:r w:rsidRPr="00325440">
        <w:rPr>
          <w:rStyle w:val="Voetnootmarkering"/>
          <w:rFonts w:cstheme="minorHAnsi"/>
        </w:rPr>
        <w:footnoteRef/>
      </w:r>
      <w:r w:rsidRPr="00325440">
        <w:rPr>
          <w:rFonts w:cstheme="minorHAnsi"/>
        </w:rPr>
        <w:t xml:space="preserve"> </w:t>
      </w:r>
      <w:r w:rsidRPr="00325440">
        <w:rPr>
          <w:rFonts w:cstheme="minorHAnsi"/>
          <w:i/>
          <w:iCs/>
        </w:rPr>
        <w:t>Ibid.</w:t>
      </w:r>
      <w:r w:rsidRPr="00325440">
        <w:rPr>
          <w:rFonts w:cstheme="minorHAnsi"/>
        </w:rPr>
        <w:t>, 212, nr. 482.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17E2" w14:textId="26B9BB4B" w:rsidR="00230428" w:rsidRPr="005A0337" w:rsidRDefault="00230428">
    <w:pPr>
      <w:rPr>
        <w:lang w:val="en-US"/>
      </w:rP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6799" w14:textId="358E3345" w:rsidR="00DA1AF7" w:rsidRDefault="00756252">
    <w:pPr>
      <w:pStyle w:val="Koptekst"/>
    </w:pPr>
    <w:r>
      <w:t>OPF Kluwer</w:t>
    </w:r>
    <w:r w:rsidR="00DA1AF7">
      <w:tab/>
    </w:r>
    <w:r w:rsidR="00DA1AF7">
      <w:tab/>
      <w:t>Amber Jans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BFD"/>
    <w:multiLevelType w:val="hybridMultilevel"/>
    <w:tmpl w:val="B9F8EF8A"/>
    <w:lvl w:ilvl="0" w:tplc="688AF9A4">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72B2C24"/>
    <w:multiLevelType w:val="hybridMultilevel"/>
    <w:tmpl w:val="4644FC80"/>
    <w:lvl w:ilvl="0" w:tplc="9E105414">
      <w:start w:val="1"/>
      <w:numFmt w:val="decimal"/>
      <w:pStyle w:val="Kop3"/>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86A0B9C"/>
    <w:multiLevelType w:val="hybridMultilevel"/>
    <w:tmpl w:val="462A329C"/>
    <w:lvl w:ilvl="0" w:tplc="F9A4C24E">
      <w:start w:val="1"/>
      <w:numFmt w:val="bullet"/>
      <w:lvlText w:val="•"/>
      <w:lvlJc w:val="left"/>
      <w:pPr>
        <w:tabs>
          <w:tab w:val="num" w:pos="720"/>
        </w:tabs>
        <w:ind w:left="720" w:hanging="360"/>
      </w:pPr>
      <w:rPr>
        <w:rFonts w:ascii="Arial" w:hAnsi="Arial" w:hint="default"/>
      </w:rPr>
    </w:lvl>
    <w:lvl w:ilvl="1" w:tplc="D40A021E">
      <w:start w:val="1"/>
      <w:numFmt w:val="bullet"/>
      <w:lvlText w:val="•"/>
      <w:lvlJc w:val="left"/>
      <w:pPr>
        <w:tabs>
          <w:tab w:val="num" w:pos="1440"/>
        </w:tabs>
        <w:ind w:left="1440" w:hanging="360"/>
      </w:pPr>
      <w:rPr>
        <w:rFonts w:ascii="Arial" w:hAnsi="Arial" w:hint="default"/>
      </w:rPr>
    </w:lvl>
    <w:lvl w:ilvl="2" w:tplc="9020A9A4" w:tentative="1">
      <w:start w:val="1"/>
      <w:numFmt w:val="bullet"/>
      <w:lvlText w:val="•"/>
      <w:lvlJc w:val="left"/>
      <w:pPr>
        <w:tabs>
          <w:tab w:val="num" w:pos="2160"/>
        </w:tabs>
        <w:ind w:left="2160" w:hanging="360"/>
      </w:pPr>
      <w:rPr>
        <w:rFonts w:ascii="Arial" w:hAnsi="Arial" w:hint="default"/>
      </w:rPr>
    </w:lvl>
    <w:lvl w:ilvl="3" w:tplc="880CD5A0" w:tentative="1">
      <w:start w:val="1"/>
      <w:numFmt w:val="bullet"/>
      <w:lvlText w:val="•"/>
      <w:lvlJc w:val="left"/>
      <w:pPr>
        <w:tabs>
          <w:tab w:val="num" w:pos="2880"/>
        </w:tabs>
        <w:ind w:left="2880" w:hanging="360"/>
      </w:pPr>
      <w:rPr>
        <w:rFonts w:ascii="Arial" w:hAnsi="Arial" w:hint="default"/>
      </w:rPr>
    </w:lvl>
    <w:lvl w:ilvl="4" w:tplc="D78C9CC0" w:tentative="1">
      <w:start w:val="1"/>
      <w:numFmt w:val="bullet"/>
      <w:lvlText w:val="•"/>
      <w:lvlJc w:val="left"/>
      <w:pPr>
        <w:tabs>
          <w:tab w:val="num" w:pos="3600"/>
        </w:tabs>
        <w:ind w:left="3600" w:hanging="360"/>
      </w:pPr>
      <w:rPr>
        <w:rFonts w:ascii="Arial" w:hAnsi="Arial" w:hint="default"/>
      </w:rPr>
    </w:lvl>
    <w:lvl w:ilvl="5" w:tplc="06C2C044" w:tentative="1">
      <w:start w:val="1"/>
      <w:numFmt w:val="bullet"/>
      <w:lvlText w:val="•"/>
      <w:lvlJc w:val="left"/>
      <w:pPr>
        <w:tabs>
          <w:tab w:val="num" w:pos="4320"/>
        </w:tabs>
        <w:ind w:left="4320" w:hanging="360"/>
      </w:pPr>
      <w:rPr>
        <w:rFonts w:ascii="Arial" w:hAnsi="Arial" w:hint="default"/>
      </w:rPr>
    </w:lvl>
    <w:lvl w:ilvl="6" w:tplc="786EAED8" w:tentative="1">
      <w:start w:val="1"/>
      <w:numFmt w:val="bullet"/>
      <w:lvlText w:val="•"/>
      <w:lvlJc w:val="left"/>
      <w:pPr>
        <w:tabs>
          <w:tab w:val="num" w:pos="5040"/>
        </w:tabs>
        <w:ind w:left="5040" w:hanging="360"/>
      </w:pPr>
      <w:rPr>
        <w:rFonts w:ascii="Arial" w:hAnsi="Arial" w:hint="default"/>
      </w:rPr>
    </w:lvl>
    <w:lvl w:ilvl="7" w:tplc="35B6F5D6" w:tentative="1">
      <w:start w:val="1"/>
      <w:numFmt w:val="bullet"/>
      <w:lvlText w:val="•"/>
      <w:lvlJc w:val="left"/>
      <w:pPr>
        <w:tabs>
          <w:tab w:val="num" w:pos="5760"/>
        </w:tabs>
        <w:ind w:left="5760" w:hanging="360"/>
      </w:pPr>
      <w:rPr>
        <w:rFonts w:ascii="Arial" w:hAnsi="Arial" w:hint="default"/>
      </w:rPr>
    </w:lvl>
    <w:lvl w:ilvl="8" w:tplc="9894F48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993DE3"/>
    <w:multiLevelType w:val="hybridMultilevel"/>
    <w:tmpl w:val="E19A791A"/>
    <w:lvl w:ilvl="0" w:tplc="B198B48E">
      <w:start w:val="2"/>
      <w:numFmt w:val="lowerLetter"/>
      <w:lvlText w:val="%1."/>
      <w:lvlJc w:val="left"/>
      <w:pPr>
        <w:ind w:left="108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170161C"/>
    <w:multiLevelType w:val="hybridMultilevel"/>
    <w:tmpl w:val="B610F5FA"/>
    <w:lvl w:ilvl="0" w:tplc="BEDEC5B4">
      <w:start w:val="2"/>
      <w:numFmt w:val="lowerLetter"/>
      <w:lvlText w:val="%1."/>
      <w:lvlJc w:val="left"/>
      <w:pPr>
        <w:ind w:left="108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98B1C15"/>
    <w:multiLevelType w:val="hybridMultilevel"/>
    <w:tmpl w:val="08C0213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CED69C6"/>
    <w:multiLevelType w:val="hybridMultilevel"/>
    <w:tmpl w:val="44C83246"/>
    <w:lvl w:ilvl="0" w:tplc="08130015">
      <w:start w:val="1"/>
      <w:numFmt w:val="upperLetter"/>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FA249C6"/>
    <w:multiLevelType w:val="hybridMultilevel"/>
    <w:tmpl w:val="DE4CC7C4"/>
    <w:lvl w:ilvl="0" w:tplc="8F48229E">
      <w:start w:val="1"/>
      <w:numFmt w:val="upperLetter"/>
      <w:pStyle w:val="Kop2"/>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4533FA0"/>
    <w:multiLevelType w:val="hybridMultilevel"/>
    <w:tmpl w:val="52109AB2"/>
    <w:lvl w:ilvl="0" w:tplc="C1767508">
      <w:start w:val="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5A01764"/>
    <w:multiLevelType w:val="hybridMultilevel"/>
    <w:tmpl w:val="4A866CCE"/>
    <w:lvl w:ilvl="0" w:tplc="0CF8DBF8">
      <w:start w:val="1"/>
      <w:numFmt w:val="decimal"/>
      <w:lvlText w:val="%1."/>
      <w:lvlJc w:val="left"/>
      <w:pPr>
        <w:ind w:left="360" w:hanging="360"/>
      </w:pPr>
      <w:rPr>
        <w:rFonts w:hint="default"/>
        <w:b/>
        <w:bCs/>
        <w:i w:val="0"/>
        <w:iCs/>
        <w:strike w:val="0"/>
        <w:color w:val="auto"/>
        <w:sz w:val="22"/>
        <w:szCs w:val="22"/>
      </w:rPr>
    </w:lvl>
    <w:lvl w:ilvl="1" w:tplc="0813000F">
      <w:start w:val="1"/>
      <w:numFmt w:val="decimal"/>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88B2095"/>
    <w:multiLevelType w:val="hybridMultilevel"/>
    <w:tmpl w:val="27BE061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D778B3FE">
      <w:start w:val="1"/>
      <w:numFmt w:val="bullet"/>
      <w:lvlText w:val="◊"/>
      <w:lvlJc w:val="left"/>
      <w:pPr>
        <w:ind w:left="2880" w:hanging="360"/>
      </w:pPr>
      <w:rPr>
        <w:rFonts w:ascii="Calibri" w:hAnsi="Calibri"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F132D2B"/>
    <w:multiLevelType w:val="hybridMultilevel"/>
    <w:tmpl w:val="18B0A154"/>
    <w:lvl w:ilvl="0" w:tplc="072C8892">
      <w:start w:val="4"/>
      <w:numFmt w:val="lowerLetter"/>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3B0C03DB"/>
    <w:multiLevelType w:val="hybridMultilevel"/>
    <w:tmpl w:val="3A44946C"/>
    <w:lvl w:ilvl="0" w:tplc="08130019">
      <w:start w:val="1"/>
      <w:numFmt w:val="lowerLetter"/>
      <w:lvlText w:val="%1."/>
      <w:lvlJc w:val="left"/>
      <w:pPr>
        <w:ind w:left="1636" w:hanging="360"/>
      </w:p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abstractNum w:abstractNumId="13" w15:restartNumberingAfterBreak="0">
    <w:nsid w:val="41064EAC"/>
    <w:multiLevelType w:val="hybridMultilevel"/>
    <w:tmpl w:val="AE30DB06"/>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B844611"/>
    <w:multiLevelType w:val="hybridMultilevel"/>
    <w:tmpl w:val="7D408208"/>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5" w15:restartNumberingAfterBreak="0">
    <w:nsid w:val="530E79FC"/>
    <w:multiLevelType w:val="hybridMultilevel"/>
    <w:tmpl w:val="37A072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31D3D46"/>
    <w:multiLevelType w:val="hybridMultilevel"/>
    <w:tmpl w:val="7D9419DC"/>
    <w:lvl w:ilvl="0" w:tplc="7102B1D4">
      <w:start w:val="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42D04E5"/>
    <w:multiLevelType w:val="hybridMultilevel"/>
    <w:tmpl w:val="C6540D58"/>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5F9768B"/>
    <w:multiLevelType w:val="hybridMultilevel"/>
    <w:tmpl w:val="3A44946C"/>
    <w:lvl w:ilvl="0" w:tplc="08130019">
      <w:start w:val="1"/>
      <w:numFmt w:val="lowerLetter"/>
      <w:lvlText w:val="%1."/>
      <w:lvlJc w:val="left"/>
      <w:pPr>
        <w:ind w:left="1636" w:hanging="360"/>
      </w:p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abstractNum w:abstractNumId="19" w15:restartNumberingAfterBreak="0">
    <w:nsid w:val="56C75FFB"/>
    <w:multiLevelType w:val="hybridMultilevel"/>
    <w:tmpl w:val="3A146A02"/>
    <w:lvl w:ilvl="0" w:tplc="FAB0E1AC">
      <w:start w:val="1"/>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8642CF9"/>
    <w:multiLevelType w:val="hybridMultilevel"/>
    <w:tmpl w:val="334A148C"/>
    <w:lvl w:ilvl="0" w:tplc="072C8892">
      <w:start w:val="4"/>
      <w:numFmt w:val="lowerLetter"/>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C9468F4"/>
    <w:multiLevelType w:val="hybridMultilevel"/>
    <w:tmpl w:val="89B66C28"/>
    <w:lvl w:ilvl="0" w:tplc="08130015">
      <w:start w:val="1"/>
      <w:numFmt w:val="upperLetter"/>
      <w:lvlText w:val="%1."/>
      <w:lvlJc w:val="left"/>
      <w:pPr>
        <w:ind w:left="720" w:hanging="360"/>
      </w:pPr>
      <w:rPr>
        <w:rFonts w:hint="default"/>
      </w:rPr>
    </w:lvl>
    <w:lvl w:ilvl="1" w:tplc="08130019">
      <w:start w:val="1"/>
      <w:numFmt w:val="lowerLetter"/>
      <w:lvlText w:val="%2."/>
      <w:lvlJc w:val="left"/>
      <w:pPr>
        <w:ind w:left="1440" w:hanging="360"/>
      </w:pPr>
    </w:lvl>
    <w:lvl w:ilvl="2" w:tplc="08130019">
      <w:start w:val="1"/>
      <w:numFmt w:val="lowerLetter"/>
      <w:lvlText w:val="%3."/>
      <w:lvlJc w:val="left"/>
      <w:pPr>
        <w:ind w:left="1456"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642765A5"/>
    <w:multiLevelType w:val="hybridMultilevel"/>
    <w:tmpl w:val="2444C2EE"/>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6CEC660A"/>
    <w:multiLevelType w:val="hybridMultilevel"/>
    <w:tmpl w:val="CF685B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6FE448D7"/>
    <w:multiLevelType w:val="hybridMultilevel"/>
    <w:tmpl w:val="F2EE319C"/>
    <w:lvl w:ilvl="0" w:tplc="9872BF20">
      <w:start w:val="2"/>
      <w:numFmt w:val="lowerLetter"/>
      <w:lvlText w:val="%1."/>
      <w:lvlJc w:val="left"/>
      <w:pPr>
        <w:ind w:left="108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703A3FE7"/>
    <w:multiLevelType w:val="hybridMultilevel"/>
    <w:tmpl w:val="A9661732"/>
    <w:lvl w:ilvl="0" w:tplc="D90081DC">
      <w:start w:val="1"/>
      <w:numFmt w:val="upperRoman"/>
      <w:lvlText w:val="%1."/>
      <w:lvlJc w:val="left"/>
      <w:pPr>
        <w:ind w:left="720" w:hanging="720"/>
      </w:pPr>
      <w:rPr>
        <w:rFonts w:hint="default"/>
      </w:rPr>
    </w:lvl>
    <w:lvl w:ilvl="1" w:tplc="08130015">
      <w:start w:val="1"/>
      <w:numFmt w:val="upperLetter"/>
      <w:lvlText w:val="%2."/>
      <w:lvlJc w:val="left"/>
      <w:pPr>
        <w:ind w:left="1069"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71494F6A"/>
    <w:multiLevelType w:val="hybridMultilevel"/>
    <w:tmpl w:val="AFC6AE1E"/>
    <w:lvl w:ilvl="0" w:tplc="D97035B2">
      <w:start w:val="1"/>
      <w:numFmt w:val="lowerLetter"/>
      <w:pStyle w:val="Kop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71A0576B"/>
    <w:multiLevelType w:val="hybridMultilevel"/>
    <w:tmpl w:val="115C3B2A"/>
    <w:lvl w:ilvl="0" w:tplc="BA0E4AFC">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758A125F"/>
    <w:multiLevelType w:val="hybridMultilevel"/>
    <w:tmpl w:val="857E9968"/>
    <w:lvl w:ilvl="0" w:tplc="F0769F30">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776408E3"/>
    <w:multiLevelType w:val="hybridMultilevel"/>
    <w:tmpl w:val="78B4FE9C"/>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79BA307A"/>
    <w:multiLevelType w:val="hybridMultilevel"/>
    <w:tmpl w:val="DA4C223C"/>
    <w:lvl w:ilvl="0" w:tplc="D8DE357E">
      <w:start w:val="1"/>
      <w:numFmt w:val="upperRoman"/>
      <w:pStyle w:val="Kop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7F246707"/>
    <w:multiLevelType w:val="hybridMultilevel"/>
    <w:tmpl w:val="22FC92CE"/>
    <w:lvl w:ilvl="0" w:tplc="580069EC">
      <w:start w:val="1"/>
      <w:numFmt w:val="upperLetter"/>
      <w:lvlText w:val="%1."/>
      <w:lvlJc w:val="left"/>
      <w:pPr>
        <w:ind w:left="1068" w:hanging="360"/>
      </w:pPr>
      <w:rPr>
        <w:rFonts w:hint="default"/>
      </w:rPr>
    </w:lvl>
    <w:lvl w:ilvl="1" w:tplc="0813000F">
      <w:start w:val="1"/>
      <w:numFmt w:val="decimal"/>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num w:numId="1">
    <w:abstractNumId w:val="10"/>
  </w:num>
  <w:num w:numId="2">
    <w:abstractNumId w:val="23"/>
  </w:num>
  <w:num w:numId="3">
    <w:abstractNumId w:val="2"/>
  </w:num>
  <w:num w:numId="4">
    <w:abstractNumId w:val="30"/>
  </w:num>
  <w:num w:numId="5">
    <w:abstractNumId w:val="7"/>
  </w:num>
  <w:num w:numId="6">
    <w:abstractNumId w:val="22"/>
  </w:num>
  <w:num w:numId="7">
    <w:abstractNumId w:val="26"/>
  </w:num>
  <w:num w:numId="8">
    <w:abstractNumId w:val="15"/>
  </w:num>
  <w:num w:numId="9">
    <w:abstractNumId w:val="28"/>
  </w:num>
  <w:num w:numId="10">
    <w:abstractNumId w:val="0"/>
  </w:num>
  <w:num w:numId="11">
    <w:abstractNumId w:val="9"/>
  </w:num>
  <w:num w:numId="12">
    <w:abstractNumId w:val="5"/>
  </w:num>
  <w:num w:numId="13">
    <w:abstractNumId w:val="21"/>
  </w:num>
  <w:num w:numId="14">
    <w:abstractNumId w:val="25"/>
  </w:num>
  <w:num w:numId="15">
    <w:abstractNumId w:val="13"/>
  </w:num>
  <w:num w:numId="16">
    <w:abstractNumId w:val="17"/>
  </w:num>
  <w:num w:numId="17">
    <w:abstractNumId w:val="8"/>
  </w:num>
  <w:num w:numId="18">
    <w:abstractNumId w:val="12"/>
  </w:num>
  <w:num w:numId="19">
    <w:abstractNumId w:val="18"/>
  </w:num>
  <w:num w:numId="20">
    <w:abstractNumId w:val="16"/>
  </w:num>
  <w:num w:numId="21">
    <w:abstractNumId w:val="30"/>
  </w:num>
  <w:num w:numId="22">
    <w:abstractNumId w:val="30"/>
  </w:num>
  <w:num w:numId="23">
    <w:abstractNumId w:val="7"/>
  </w:num>
  <w:num w:numId="24">
    <w:abstractNumId w:val="7"/>
  </w:num>
  <w:num w:numId="25">
    <w:abstractNumId w:val="29"/>
  </w:num>
  <w:num w:numId="26">
    <w:abstractNumId w:val="3"/>
  </w:num>
  <w:num w:numId="27">
    <w:abstractNumId w:val="7"/>
  </w:num>
  <w:num w:numId="28">
    <w:abstractNumId w:val="31"/>
  </w:num>
  <w:num w:numId="29">
    <w:abstractNumId w:val="27"/>
  </w:num>
  <w:num w:numId="30">
    <w:abstractNumId w:val="19"/>
  </w:num>
  <w:num w:numId="31">
    <w:abstractNumId w:val="4"/>
  </w:num>
  <w:num w:numId="32">
    <w:abstractNumId w:val="24"/>
  </w:num>
  <w:num w:numId="33">
    <w:abstractNumId w:val="20"/>
  </w:num>
  <w:num w:numId="34">
    <w:abstractNumId w:val="11"/>
  </w:num>
  <w:num w:numId="35">
    <w:abstractNumId w:val="14"/>
  </w:num>
  <w:num w:numId="36">
    <w:abstractNumId w:val="6"/>
  </w:num>
  <w:num w:numId="3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7E2"/>
    <w:rsid w:val="0000182B"/>
    <w:rsid w:val="00003042"/>
    <w:rsid w:val="00003AFF"/>
    <w:rsid w:val="00017BBE"/>
    <w:rsid w:val="00021FFE"/>
    <w:rsid w:val="000253F5"/>
    <w:rsid w:val="00026F03"/>
    <w:rsid w:val="00052FA9"/>
    <w:rsid w:val="00060586"/>
    <w:rsid w:val="000754C9"/>
    <w:rsid w:val="00075B89"/>
    <w:rsid w:val="00076213"/>
    <w:rsid w:val="00077C6C"/>
    <w:rsid w:val="000837C0"/>
    <w:rsid w:val="000975A0"/>
    <w:rsid w:val="000A0A17"/>
    <w:rsid w:val="000A5D2B"/>
    <w:rsid w:val="000B0E9C"/>
    <w:rsid w:val="000B54FC"/>
    <w:rsid w:val="000D3E33"/>
    <w:rsid w:val="000E5168"/>
    <w:rsid w:val="001037FE"/>
    <w:rsid w:val="0010494E"/>
    <w:rsid w:val="00106E25"/>
    <w:rsid w:val="0011014A"/>
    <w:rsid w:val="0011284D"/>
    <w:rsid w:val="00114701"/>
    <w:rsid w:val="00121090"/>
    <w:rsid w:val="00122C8C"/>
    <w:rsid w:val="00122D7E"/>
    <w:rsid w:val="00124499"/>
    <w:rsid w:val="00124B5F"/>
    <w:rsid w:val="00126BC2"/>
    <w:rsid w:val="0012725C"/>
    <w:rsid w:val="001306B9"/>
    <w:rsid w:val="00142D94"/>
    <w:rsid w:val="001530AD"/>
    <w:rsid w:val="001554AC"/>
    <w:rsid w:val="00156E0C"/>
    <w:rsid w:val="001570B5"/>
    <w:rsid w:val="00161BB3"/>
    <w:rsid w:val="00164042"/>
    <w:rsid w:val="0016755C"/>
    <w:rsid w:val="00172BEB"/>
    <w:rsid w:val="00174058"/>
    <w:rsid w:val="00175197"/>
    <w:rsid w:val="00175890"/>
    <w:rsid w:val="00175B6C"/>
    <w:rsid w:val="001829C0"/>
    <w:rsid w:val="00184AFA"/>
    <w:rsid w:val="00186CAC"/>
    <w:rsid w:val="00192E1C"/>
    <w:rsid w:val="001A2DCC"/>
    <w:rsid w:val="001A42D4"/>
    <w:rsid w:val="001B4122"/>
    <w:rsid w:val="001B5C84"/>
    <w:rsid w:val="001B6A4B"/>
    <w:rsid w:val="001C2627"/>
    <w:rsid w:val="001D5924"/>
    <w:rsid w:val="001E4186"/>
    <w:rsid w:val="001F16F0"/>
    <w:rsid w:val="001F307B"/>
    <w:rsid w:val="001F45C4"/>
    <w:rsid w:val="001F5A02"/>
    <w:rsid w:val="00206C0A"/>
    <w:rsid w:val="002157D3"/>
    <w:rsid w:val="0022143F"/>
    <w:rsid w:val="002214F0"/>
    <w:rsid w:val="0022635D"/>
    <w:rsid w:val="00230428"/>
    <w:rsid w:val="00233AC2"/>
    <w:rsid w:val="0023460B"/>
    <w:rsid w:val="00234D36"/>
    <w:rsid w:val="002453C5"/>
    <w:rsid w:val="00250C24"/>
    <w:rsid w:val="00256C39"/>
    <w:rsid w:val="00257330"/>
    <w:rsid w:val="00264689"/>
    <w:rsid w:val="00266A0D"/>
    <w:rsid w:val="00272028"/>
    <w:rsid w:val="002743FC"/>
    <w:rsid w:val="002761CE"/>
    <w:rsid w:val="00280666"/>
    <w:rsid w:val="00283440"/>
    <w:rsid w:val="00292B6F"/>
    <w:rsid w:val="00297099"/>
    <w:rsid w:val="002B7F62"/>
    <w:rsid w:val="002D1698"/>
    <w:rsid w:val="002D76F5"/>
    <w:rsid w:val="002E04A2"/>
    <w:rsid w:val="002E104F"/>
    <w:rsid w:val="002E17CD"/>
    <w:rsid w:val="002E1DA8"/>
    <w:rsid w:val="002E64FF"/>
    <w:rsid w:val="002F7284"/>
    <w:rsid w:val="00305AAE"/>
    <w:rsid w:val="00312C4B"/>
    <w:rsid w:val="003132EF"/>
    <w:rsid w:val="00314F31"/>
    <w:rsid w:val="003206C6"/>
    <w:rsid w:val="0032266B"/>
    <w:rsid w:val="00325440"/>
    <w:rsid w:val="003344AD"/>
    <w:rsid w:val="00337CA6"/>
    <w:rsid w:val="003423F5"/>
    <w:rsid w:val="00377665"/>
    <w:rsid w:val="0038099D"/>
    <w:rsid w:val="00382C13"/>
    <w:rsid w:val="00386A15"/>
    <w:rsid w:val="003A474D"/>
    <w:rsid w:val="003A7EB4"/>
    <w:rsid w:val="003B3CAF"/>
    <w:rsid w:val="003C6C24"/>
    <w:rsid w:val="003C70C0"/>
    <w:rsid w:val="003D2F51"/>
    <w:rsid w:val="003D3CC1"/>
    <w:rsid w:val="003E2D3B"/>
    <w:rsid w:val="003F05FF"/>
    <w:rsid w:val="00400426"/>
    <w:rsid w:val="00403164"/>
    <w:rsid w:val="00404043"/>
    <w:rsid w:val="0042536D"/>
    <w:rsid w:val="004465B9"/>
    <w:rsid w:val="0045102E"/>
    <w:rsid w:val="00455816"/>
    <w:rsid w:val="00456257"/>
    <w:rsid w:val="00460009"/>
    <w:rsid w:val="004621C9"/>
    <w:rsid w:val="0046290A"/>
    <w:rsid w:val="004641B8"/>
    <w:rsid w:val="00470827"/>
    <w:rsid w:val="00471EA7"/>
    <w:rsid w:val="00485DEA"/>
    <w:rsid w:val="00487E9F"/>
    <w:rsid w:val="004A4E84"/>
    <w:rsid w:val="004B08E8"/>
    <w:rsid w:val="004B14B5"/>
    <w:rsid w:val="004B4CB9"/>
    <w:rsid w:val="004B7AF4"/>
    <w:rsid w:val="004C1506"/>
    <w:rsid w:val="004C5676"/>
    <w:rsid w:val="004C5A26"/>
    <w:rsid w:val="004C5D52"/>
    <w:rsid w:val="004C69EB"/>
    <w:rsid w:val="004D2B7D"/>
    <w:rsid w:val="004D4406"/>
    <w:rsid w:val="004D610E"/>
    <w:rsid w:val="004E16C4"/>
    <w:rsid w:val="004E5CBB"/>
    <w:rsid w:val="004F2113"/>
    <w:rsid w:val="004F245A"/>
    <w:rsid w:val="004F745C"/>
    <w:rsid w:val="00503B54"/>
    <w:rsid w:val="00504B86"/>
    <w:rsid w:val="00505058"/>
    <w:rsid w:val="0050565F"/>
    <w:rsid w:val="00511C8A"/>
    <w:rsid w:val="005159E4"/>
    <w:rsid w:val="005212BB"/>
    <w:rsid w:val="00532EF9"/>
    <w:rsid w:val="00543A72"/>
    <w:rsid w:val="00545847"/>
    <w:rsid w:val="00557B0E"/>
    <w:rsid w:val="00560037"/>
    <w:rsid w:val="00576F62"/>
    <w:rsid w:val="00582D66"/>
    <w:rsid w:val="005868B7"/>
    <w:rsid w:val="0059628D"/>
    <w:rsid w:val="005A0337"/>
    <w:rsid w:val="005A73F3"/>
    <w:rsid w:val="005C08DD"/>
    <w:rsid w:val="005D54A7"/>
    <w:rsid w:val="005D7333"/>
    <w:rsid w:val="005E753E"/>
    <w:rsid w:val="005E7777"/>
    <w:rsid w:val="005F130A"/>
    <w:rsid w:val="005F3A12"/>
    <w:rsid w:val="005F3CD8"/>
    <w:rsid w:val="006050B7"/>
    <w:rsid w:val="006055DC"/>
    <w:rsid w:val="00605B89"/>
    <w:rsid w:val="00611842"/>
    <w:rsid w:val="00613D3B"/>
    <w:rsid w:val="00616E4B"/>
    <w:rsid w:val="00617C3F"/>
    <w:rsid w:val="00626008"/>
    <w:rsid w:val="00626E24"/>
    <w:rsid w:val="00632297"/>
    <w:rsid w:val="00633ECB"/>
    <w:rsid w:val="00635CB4"/>
    <w:rsid w:val="00636649"/>
    <w:rsid w:val="00641A9A"/>
    <w:rsid w:val="00641DC0"/>
    <w:rsid w:val="006422F3"/>
    <w:rsid w:val="00642B88"/>
    <w:rsid w:val="006467E2"/>
    <w:rsid w:val="00650CC4"/>
    <w:rsid w:val="00654D91"/>
    <w:rsid w:val="00657B8D"/>
    <w:rsid w:val="00671530"/>
    <w:rsid w:val="00672A80"/>
    <w:rsid w:val="0068400D"/>
    <w:rsid w:val="00693C29"/>
    <w:rsid w:val="00696867"/>
    <w:rsid w:val="006A45D6"/>
    <w:rsid w:val="006A778E"/>
    <w:rsid w:val="006B045B"/>
    <w:rsid w:val="006B188A"/>
    <w:rsid w:val="006B4D1A"/>
    <w:rsid w:val="006C5168"/>
    <w:rsid w:val="006C60D0"/>
    <w:rsid w:val="006C7BA3"/>
    <w:rsid w:val="006D0600"/>
    <w:rsid w:val="006F45AD"/>
    <w:rsid w:val="006F64F1"/>
    <w:rsid w:val="006F7B6A"/>
    <w:rsid w:val="00700448"/>
    <w:rsid w:val="00720AE8"/>
    <w:rsid w:val="00741B91"/>
    <w:rsid w:val="007476D2"/>
    <w:rsid w:val="0075358E"/>
    <w:rsid w:val="00756252"/>
    <w:rsid w:val="00762A71"/>
    <w:rsid w:val="0077019E"/>
    <w:rsid w:val="00772D89"/>
    <w:rsid w:val="007732B2"/>
    <w:rsid w:val="00782C75"/>
    <w:rsid w:val="00782F2B"/>
    <w:rsid w:val="00783328"/>
    <w:rsid w:val="007863F2"/>
    <w:rsid w:val="00786F1A"/>
    <w:rsid w:val="00793A90"/>
    <w:rsid w:val="00794DAA"/>
    <w:rsid w:val="00796514"/>
    <w:rsid w:val="007A15F1"/>
    <w:rsid w:val="007A3163"/>
    <w:rsid w:val="007B0F0D"/>
    <w:rsid w:val="007B74E0"/>
    <w:rsid w:val="007C1A20"/>
    <w:rsid w:val="007C25D3"/>
    <w:rsid w:val="007C75AE"/>
    <w:rsid w:val="007D18DE"/>
    <w:rsid w:val="007D7FA2"/>
    <w:rsid w:val="007E311A"/>
    <w:rsid w:val="007F13C8"/>
    <w:rsid w:val="00800978"/>
    <w:rsid w:val="008026CB"/>
    <w:rsid w:val="00804E20"/>
    <w:rsid w:val="008149CF"/>
    <w:rsid w:val="00822E52"/>
    <w:rsid w:val="0082555A"/>
    <w:rsid w:val="0083056F"/>
    <w:rsid w:val="00832248"/>
    <w:rsid w:val="008436B8"/>
    <w:rsid w:val="008534B6"/>
    <w:rsid w:val="00854275"/>
    <w:rsid w:val="00860E90"/>
    <w:rsid w:val="008675D1"/>
    <w:rsid w:val="00867657"/>
    <w:rsid w:val="00870E96"/>
    <w:rsid w:val="008814E8"/>
    <w:rsid w:val="00882CD2"/>
    <w:rsid w:val="00892B33"/>
    <w:rsid w:val="00895BD7"/>
    <w:rsid w:val="008A3E97"/>
    <w:rsid w:val="008A43A8"/>
    <w:rsid w:val="008B50F3"/>
    <w:rsid w:val="008D1DBC"/>
    <w:rsid w:val="008D5D33"/>
    <w:rsid w:val="008E47FD"/>
    <w:rsid w:val="008E53FF"/>
    <w:rsid w:val="008F37C4"/>
    <w:rsid w:val="0090645B"/>
    <w:rsid w:val="00906FDB"/>
    <w:rsid w:val="0092458A"/>
    <w:rsid w:val="00924F26"/>
    <w:rsid w:val="00925735"/>
    <w:rsid w:val="00927FD2"/>
    <w:rsid w:val="00940A7C"/>
    <w:rsid w:val="00941DE3"/>
    <w:rsid w:val="00946940"/>
    <w:rsid w:val="00947475"/>
    <w:rsid w:val="00955BA5"/>
    <w:rsid w:val="00956C12"/>
    <w:rsid w:val="00962641"/>
    <w:rsid w:val="00970E9B"/>
    <w:rsid w:val="009802DA"/>
    <w:rsid w:val="009A41CA"/>
    <w:rsid w:val="009B73DD"/>
    <w:rsid w:val="009B7533"/>
    <w:rsid w:val="009C0C0C"/>
    <w:rsid w:val="009C109A"/>
    <w:rsid w:val="009D1957"/>
    <w:rsid w:val="009F5A23"/>
    <w:rsid w:val="00A01AE1"/>
    <w:rsid w:val="00A06D0F"/>
    <w:rsid w:val="00A07F3E"/>
    <w:rsid w:val="00A100D8"/>
    <w:rsid w:val="00A11688"/>
    <w:rsid w:val="00A150FA"/>
    <w:rsid w:val="00A160DA"/>
    <w:rsid w:val="00A16CA0"/>
    <w:rsid w:val="00A21F01"/>
    <w:rsid w:val="00A313A0"/>
    <w:rsid w:val="00A33FB3"/>
    <w:rsid w:val="00A34D51"/>
    <w:rsid w:val="00A41620"/>
    <w:rsid w:val="00A4489D"/>
    <w:rsid w:val="00A471B2"/>
    <w:rsid w:val="00A50376"/>
    <w:rsid w:val="00A54C8F"/>
    <w:rsid w:val="00A55AA7"/>
    <w:rsid w:val="00A570A0"/>
    <w:rsid w:val="00A66F48"/>
    <w:rsid w:val="00A72DE2"/>
    <w:rsid w:val="00A8018F"/>
    <w:rsid w:val="00A81F42"/>
    <w:rsid w:val="00A83722"/>
    <w:rsid w:val="00A876C7"/>
    <w:rsid w:val="00AA5FE4"/>
    <w:rsid w:val="00AB7C23"/>
    <w:rsid w:val="00AD0EE4"/>
    <w:rsid w:val="00AD341B"/>
    <w:rsid w:val="00AD5715"/>
    <w:rsid w:val="00AE2C7C"/>
    <w:rsid w:val="00AE6D37"/>
    <w:rsid w:val="00AF0742"/>
    <w:rsid w:val="00AF4208"/>
    <w:rsid w:val="00B0192E"/>
    <w:rsid w:val="00B111CC"/>
    <w:rsid w:val="00B30105"/>
    <w:rsid w:val="00B304CE"/>
    <w:rsid w:val="00B306B7"/>
    <w:rsid w:val="00B3362E"/>
    <w:rsid w:val="00B36C02"/>
    <w:rsid w:val="00B40779"/>
    <w:rsid w:val="00B407E4"/>
    <w:rsid w:val="00B43069"/>
    <w:rsid w:val="00B43D39"/>
    <w:rsid w:val="00B445B5"/>
    <w:rsid w:val="00B462BC"/>
    <w:rsid w:val="00B573A6"/>
    <w:rsid w:val="00B61F99"/>
    <w:rsid w:val="00B63D77"/>
    <w:rsid w:val="00B644BC"/>
    <w:rsid w:val="00B64DF2"/>
    <w:rsid w:val="00B663CA"/>
    <w:rsid w:val="00B7144F"/>
    <w:rsid w:val="00B855E6"/>
    <w:rsid w:val="00B91B58"/>
    <w:rsid w:val="00B95CAA"/>
    <w:rsid w:val="00BA1948"/>
    <w:rsid w:val="00BA2024"/>
    <w:rsid w:val="00BA3632"/>
    <w:rsid w:val="00BA3A54"/>
    <w:rsid w:val="00BA5761"/>
    <w:rsid w:val="00BB5152"/>
    <w:rsid w:val="00BC0AF6"/>
    <w:rsid w:val="00BD0B5E"/>
    <w:rsid w:val="00BD1CEC"/>
    <w:rsid w:val="00BE0EE8"/>
    <w:rsid w:val="00BF01D8"/>
    <w:rsid w:val="00BF3FF7"/>
    <w:rsid w:val="00BF6C5C"/>
    <w:rsid w:val="00C00822"/>
    <w:rsid w:val="00C029EA"/>
    <w:rsid w:val="00C04811"/>
    <w:rsid w:val="00C13A7C"/>
    <w:rsid w:val="00C13E99"/>
    <w:rsid w:val="00C14149"/>
    <w:rsid w:val="00C146D0"/>
    <w:rsid w:val="00C240FD"/>
    <w:rsid w:val="00C2435B"/>
    <w:rsid w:val="00C257D2"/>
    <w:rsid w:val="00C30D4C"/>
    <w:rsid w:val="00C418F9"/>
    <w:rsid w:val="00C42879"/>
    <w:rsid w:val="00C45B07"/>
    <w:rsid w:val="00C56E13"/>
    <w:rsid w:val="00C57C50"/>
    <w:rsid w:val="00C623B8"/>
    <w:rsid w:val="00C72DE4"/>
    <w:rsid w:val="00C73F8E"/>
    <w:rsid w:val="00C75322"/>
    <w:rsid w:val="00C76A24"/>
    <w:rsid w:val="00C773F1"/>
    <w:rsid w:val="00C824A7"/>
    <w:rsid w:val="00C90E5A"/>
    <w:rsid w:val="00CA004F"/>
    <w:rsid w:val="00CA7D9F"/>
    <w:rsid w:val="00CB63DF"/>
    <w:rsid w:val="00CB65C2"/>
    <w:rsid w:val="00CC1362"/>
    <w:rsid w:val="00CC5C1F"/>
    <w:rsid w:val="00CD1A67"/>
    <w:rsid w:val="00CE32D5"/>
    <w:rsid w:val="00CF6DD7"/>
    <w:rsid w:val="00D05E3A"/>
    <w:rsid w:val="00D07927"/>
    <w:rsid w:val="00D07AB3"/>
    <w:rsid w:val="00D176F6"/>
    <w:rsid w:val="00D22071"/>
    <w:rsid w:val="00D32A49"/>
    <w:rsid w:val="00D45D40"/>
    <w:rsid w:val="00D608C0"/>
    <w:rsid w:val="00D64463"/>
    <w:rsid w:val="00D85703"/>
    <w:rsid w:val="00DA1AF7"/>
    <w:rsid w:val="00DA3598"/>
    <w:rsid w:val="00DA3878"/>
    <w:rsid w:val="00DA663D"/>
    <w:rsid w:val="00DA7854"/>
    <w:rsid w:val="00DB29F0"/>
    <w:rsid w:val="00DB3C70"/>
    <w:rsid w:val="00DB3F4B"/>
    <w:rsid w:val="00DC50B3"/>
    <w:rsid w:val="00DD04CD"/>
    <w:rsid w:val="00DD1182"/>
    <w:rsid w:val="00DE6745"/>
    <w:rsid w:val="00DE7CF8"/>
    <w:rsid w:val="00DF4007"/>
    <w:rsid w:val="00E00A08"/>
    <w:rsid w:val="00E00B72"/>
    <w:rsid w:val="00E07952"/>
    <w:rsid w:val="00E12E9C"/>
    <w:rsid w:val="00E13617"/>
    <w:rsid w:val="00E230A6"/>
    <w:rsid w:val="00E24AC4"/>
    <w:rsid w:val="00E25CBA"/>
    <w:rsid w:val="00E27B24"/>
    <w:rsid w:val="00E3487F"/>
    <w:rsid w:val="00E36426"/>
    <w:rsid w:val="00E40417"/>
    <w:rsid w:val="00E423DA"/>
    <w:rsid w:val="00E57476"/>
    <w:rsid w:val="00E6011B"/>
    <w:rsid w:val="00E62CC8"/>
    <w:rsid w:val="00E71D4D"/>
    <w:rsid w:val="00E74FAE"/>
    <w:rsid w:val="00E82133"/>
    <w:rsid w:val="00E9195C"/>
    <w:rsid w:val="00E92D3C"/>
    <w:rsid w:val="00E939D0"/>
    <w:rsid w:val="00EA043A"/>
    <w:rsid w:val="00EA04F2"/>
    <w:rsid w:val="00EA0CA6"/>
    <w:rsid w:val="00EA6B50"/>
    <w:rsid w:val="00EA6B99"/>
    <w:rsid w:val="00EB064D"/>
    <w:rsid w:val="00EB372C"/>
    <w:rsid w:val="00EB68A4"/>
    <w:rsid w:val="00EC11BF"/>
    <w:rsid w:val="00EC1C6E"/>
    <w:rsid w:val="00EC4EEB"/>
    <w:rsid w:val="00EC663E"/>
    <w:rsid w:val="00EC7CCC"/>
    <w:rsid w:val="00ED4697"/>
    <w:rsid w:val="00ED7E2C"/>
    <w:rsid w:val="00EE23EA"/>
    <w:rsid w:val="00EF1D4F"/>
    <w:rsid w:val="00EF3A22"/>
    <w:rsid w:val="00F052DB"/>
    <w:rsid w:val="00F05E92"/>
    <w:rsid w:val="00F071C2"/>
    <w:rsid w:val="00F12597"/>
    <w:rsid w:val="00F21F2A"/>
    <w:rsid w:val="00F23047"/>
    <w:rsid w:val="00F230D9"/>
    <w:rsid w:val="00F257E8"/>
    <w:rsid w:val="00F46F2D"/>
    <w:rsid w:val="00F528FC"/>
    <w:rsid w:val="00F65310"/>
    <w:rsid w:val="00F6669A"/>
    <w:rsid w:val="00F66BC7"/>
    <w:rsid w:val="00F67A04"/>
    <w:rsid w:val="00F84216"/>
    <w:rsid w:val="00F87502"/>
    <w:rsid w:val="00F913AA"/>
    <w:rsid w:val="00F91EFB"/>
    <w:rsid w:val="00FA20BF"/>
    <w:rsid w:val="00FA6BD7"/>
    <w:rsid w:val="00FD63C9"/>
    <w:rsid w:val="00FD67E2"/>
    <w:rsid w:val="00FF0298"/>
    <w:rsid w:val="00FF16A7"/>
    <w:rsid w:val="00FF3500"/>
    <w:rsid w:val="00FF799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1FC9E6"/>
  <w15:chartTrackingRefBased/>
  <w15:docId w15:val="{E489FBD3-89DC-4C20-BC92-9DC606304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4186"/>
    <w:pPr>
      <w:spacing w:after="0" w:line="240" w:lineRule="auto"/>
    </w:pPr>
  </w:style>
  <w:style w:type="paragraph" w:styleId="Kop1">
    <w:name w:val="heading 1"/>
    <w:basedOn w:val="Standaard"/>
    <w:next w:val="Standaard"/>
    <w:link w:val="Kop1Char"/>
    <w:uiPriority w:val="9"/>
    <w:qFormat/>
    <w:rsid w:val="00D64463"/>
    <w:pPr>
      <w:keepNext/>
      <w:keepLines/>
      <w:numPr>
        <w:numId w:val="4"/>
      </w:numPr>
      <w:spacing w:before="240" w:after="240"/>
      <w:outlineLvl w:val="0"/>
    </w:pPr>
    <w:rPr>
      <w:rFonts w:ascii="Calibri" w:eastAsiaTheme="majorEastAsia" w:hAnsi="Calibri" w:cstheme="majorBidi"/>
      <w:b/>
      <w:sz w:val="30"/>
      <w:szCs w:val="32"/>
    </w:rPr>
  </w:style>
  <w:style w:type="paragraph" w:styleId="Kop2">
    <w:name w:val="heading 2"/>
    <w:basedOn w:val="Standaard"/>
    <w:next w:val="Standaard"/>
    <w:link w:val="Kop2Char"/>
    <w:autoRedefine/>
    <w:uiPriority w:val="9"/>
    <w:unhideWhenUsed/>
    <w:qFormat/>
    <w:rsid w:val="005C08DD"/>
    <w:pPr>
      <w:keepNext/>
      <w:keepLines/>
      <w:numPr>
        <w:numId w:val="5"/>
      </w:numPr>
      <w:spacing w:before="240" w:after="240"/>
      <w:outlineLvl w:val="1"/>
    </w:pPr>
    <w:rPr>
      <w:rFonts w:ascii="Calibri" w:eastAsiaTheme="majorEastAsia" w:hAnsi="Calibri" w:cstheme="majorBidi"/>
      <w:smallCaps/>
      <w:sz w:val="28"/>
      <w:szCs w:val="26"/>
    </w:rPr>
  </w:style>
  <w:style w:type="paragraph" w:styleId="Kop3">
    <w:name w:val="heading 3"/>
    <w:basedOn w:val="Standaard"/>
    <w:next w:val="Standaard"/>
    <w:link w:val="Kop3Char"/>
    <w:uiPriority w:val="9"/>
    <w:unhideWhenUsed/>
    <w:qFormat/>
    <w:rsid w:val="00184AFA"/>
    <w:pPr>
      <w:keepNext/>
      <w:keepLines/>
      <w:numPr>
        <w:numId w:val="37"/>
      </w:numPr>
      <w:spacing w:before="240" w:after="240"/>
      <w:outlineLvl w:val="2"/>
    </w:pPr>
    <w:rPr>
      <w:rFonts w:ascii="Calibri" w:eastAsiaTheme="majorEastAsia" w:hAnsi="Calibri" w:cstheme="majorBidi"/>
      <w:i/>
      <w:sz w:val="26"/>
      <w:szCs w:val="24"/>
    </w:rPr>
  </w:style>
  <w:style w:type="paragraph" w:styleId="Kop4">
    <w:name w:val="heading 4"/>
    <w:basedOn w:val="Standaard"/>
    <w:next w:val="Standaard"/>
    <w:link w:val="Kop4Char"/>
    <w:uiPriority w:val="9"/>
    <w:unhideWhenUsed/>
    <w:qFormat/>
    <w:rsid w:val="00266A0D"/>
    <w:pPr>
      <w:keepNext/>
      <w:keepLines/>
      <w:numPr>
        <w:numId w:val="7"/>
      </w:numPr>
      <w:spacing w:before="240" w:after="240"/>
      <w:outlineLvl w:val="3"/>
    </w:pPr>
    <w:rPr>
      <w:rFonts w:ascii="Calibri" w:eastAsiaTheme="majorEastAsia" w:hAnsi="Calibri" w:cstheme="majorBidi"/>
      <w:b/>
      <w:iCs/>
      <w:sz w:val="24"/>
    </w:rPr>
  </w:style>
  <w:style w:type="paragraph" w:styleId="Kop5">
    <w:name w:val="heading 5"/>
    <w:basedOn w:val="Standaard"/>
    <w:next w:val="Standaard"/>
    <w:link w:val="Kop5Char"/>
    <w:uiPriority w:val="9"/>
    <w:semiHidden/>
    <w:unhideWhenUsed/>
    <w:rsid w:val="00E230A6"/>
    <w:pPr>
      <w:keepNext/>
      <w:keepLines/>
      <w:spacing w:before="40"/>
      <w:outlineLvl w:val="4"/>
    </w:pPr>
    <w:rPr>
      <w:rFonts w:asciiTheme="majorHAnsi" w:eastAsiaTheme="majorEastAsia" w:hAnsiTheme="majorHAnsi"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46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467E2"/>
    <w:pPr>
      <w:ind w:left="720"/>
      <w:contextualSpacing/>
    </w:pPr>
  </w:style>
  <w:style w:type="character" w:customStyle="1" w:styleId="Onopgelostemelding1">
    <w:name w:val="Onopgeloste melding1"/>
    <w:basedOn w:val="Standaardalinea-lettertype"/>
    <w:uiPriority w:val="99"/>
    <w:semiHidden/>
    <w:unhideWhenUsed/>
    <w:rsid w:val="004D4406"/>
    <w:rPr>
      <w:color w:val="605E5C"/>
      <w:shd w:val="clear" w:color="auto" w:fill="E1DFDD"/>
    </w:rPr>
  </w:style>
  <w:style w:type="character" w:customStyle="1" w:styleId="Kop1Char">
    <w:name w:val="Kop 1 Char"/>
    <w:basedOn w:val="Standaardalinea-lettertype"/>
    <w:link w:val="Kop1"/>
    <w:uiPriority w:val="9"/>
    <w:rsid w:val="00D64463"/>
    <w:rPr>
      <w:rFonts w:ascii="Calibri" w:eastAsiaTheme="majorEastAsia" w:hAnsi="Calibri" w:cstheme="majorBidi"/>
      <w:b/>
      <w:sz w:val="30"/>
      <w:szCs w:val="32"/>
    </w:rPr>
  </w:style>
  <w:style w:type="character" w:customStyle="1" w:styleId="Kop5Char">
    <w:name w:val="Kop 5 Char"/>
    <w:basedOn w:val="Standaardalinea-lettertype"/>
    <w:link w:val="Kop5"/>
    <w:uiPriority w:val="9"/>
    <w:semiHidden/>
    <w:rsid w:val="00E230A6"/>
    <w:rPr>
      <w:rFonts w:asciiTheme="majorHAnsi" w:eastAsiaTheme="majorEastAsia" w:hAnsiTheme="majorHAnsi" w:cstheme="majorBidi"/>
    </w:rPr>
  </w:style>
  <w:style w:type="character" w:customStyle="1" w:styleId="Kop2Char">
    <w:name w:val="Kop 2 Char"/>
    <w:basedOn w:val="Standaardalinea-lettertype"/>
    <w:link w:val="Kop2"/>
    <w:uiPriority w:val="9"/>
    <w:rsid w:val="005C08DD"/>
    <w:rPr>
      <w:rFonts w:ascii="Calibri" w:eastAsiaTheme="majorEastAsia" w:hAnsi="Calibri" w:cstheme="majorBidi"/>
      <w:smallCaps/>
      <w:sz w:val="28"/>
      <w:szCs w:val="26"/>
    </w:rPr>
  </w:style>
  <w:style w:type="character" w:customStyle="1" w:styleId="Kop3Char">
    <w:name w:val="Kop 3 Char"/>
    <w:basedOn w:val="Standaardalinea-lettertype"/>
    <w:link w:val="Kop3"/>
    <w:uiPriority w:val="9"/>
    <w:rsid w:val="00184AFA"/>
    <w:rPr>
      <w:rFonts w:ascii="Calibri" w:eastAsiaTheme="majorEastAsia" w:hAnsi="Calibri" w:cstheme="majorBidi"/>
      <w:i/>
      <w:sz w:val="26"/>
      <w:szCs w:val="24"/>
    </w:rPr>
  </w:style>
  <w:style w:type="character" w:customStyle="1" w:styleId="Kop4Char">
    <w:name w:val="Kop 4 Char"/>
    <w:basedOn w:val="Standaardalinea-lettertype"/>
    <w:link w:val="Kop4"/>
    <w:uiPriority w:val="9"/>
    <w:rsid w:val="00266A0D"/>
    <w:rPr>
      <w:rFonts w:ascii="Calibri" w:eastAsiaTheme="majorEastAsia" w:hAnsi="Calibri" w:cstheme="majorBidi"/>
      <w:b/>
      <w:iCs/>
      <w:sz w:val="24"/>
    </w:rPr>
  </w:style>
  <w:style w:type="character" w:styleId="Verwijzingopmerking">
    <w:name w:val="annotation reference"/>
    <w:basedOn w:val="Standaardalinea-lettertype"/>
    <w:uiPriority w:val="99"/>
    <w:semiHidden/>
    <w:unhideWhenUsed/>
    <w:rsid w:val="005159E4"/>
    <w:rPr>
      <w:sz w:val="16"/>
      <w:szCs w:val="16"/>
    </w:rPr>
  </w:style>
  <w:style w:type="paragraph" w:styleId="Tekstopmerking">
    <w:name w:val="annotation text"/>
    <w:basedOn w:val="Standaard"/>
    <w:link w:val="TekstopmerkingChar"/>
    <w:uiPriority w:val="99"/>
    <w:unhideWhenUsed/>
    <w:rsid w:val="005159E4"/>
    <w:rPr>
      <w:sz w:val="20"/>
      <w:szCs w:val="20"/>
    </w:rPr>
  </w:style>
  <w:style w:type="character" w:customStyle="1" w:styleId="TekstopmerkingChar">
    <w:name w:val="Tekst opmerking Char"/>
    <w:basedOn w:val="Standaardalinea-lettertype"/>
    <w:link w:val="Tekstopmerking"/>
    <w:uiPriority w:val="99"/>
    <w:rsid w:val="005159E4"/>
    <w:rPr>
      <w:sz w:val="20"/>
      <w:szCs w:val="20"/>
    </w:rPr>
  </w:style>
  <w:style w:type="paragraph" w:styleId="Onderwerpvanopmerking">
    <w:name w:val="annotation subject"/>
    <w:basedOn w:val="Tekstopmerking"/>
    <w:next w:val="Tekstopmerking"/>
    <w:link w:val="OnderwerpvanopmerkingChar"/>
    <w:uiPriority w:val="99"/>
    <w:semiHidden/>
    <w:unhideWhenUsed/>
    <w:rsid w:val="005159E4"/>
    <w:rPr>
      <w:b/>
      <w:bCs/>
    </w:rPr>
  </w:style>
  <w:style w:type="character" w:customStyle="1" w:styleId="OnderwerpvanopmerkingChar">
    <w:name w:val="Onderwerp van opmerking Char"/>
    <w:basedOn w:val="TekstopmerkingChar"/>
    <w:link w:val="Onderwerpvanopmerking"/>
    <w:uiPriority w:val="99"/>
    <w:semiHidden/>
    <w:rsid w:val="005159E4"/>
    <w:rPr>
      <w:b/>
      <w:bCs/>
      <w:sz w:val="20"/>
      <w:szCs w:val="20"/>
    </w:rPr>
  </w:style>
  <w:style w:type="character" w:styleId="Hyperlink">
    <w:name w:val="Hyperlink"/>
    <w:basedOn w:val="Standaardalinea-lettertype"/>
    <w:uiPriority w:val="99"/>
    <w:unhideWhenUsed/>
    <w:rsid w:val="004465B9"/>
    <w:rPr>
      <w:color w:val="0000FF"/>
      <w:u w:val="single"/>
    </w:rPr>
  </w:style>
  <w:style w:type="paragraph" w:styleId="Normaalweb">
    <w:name w:val="Normal (Web)"/>
    <w:basedOn w:val="Standaard"/>
    <w:uiPriority w:val="99"/>
    <w:unhideWhenUsed/>
    <w:rsid w:val="00E27B24"/>
    <w:pPr>
      <w:spacing w:before="100" w:beforeAutospacing="1" w:after="100" w:afterAutospacing="1"/>
    </w:pPr>
    <w:rPr>
      <w:rFonts w:ascii="Times New Roman" w:eastAsia="Times New Roman" w:hAnsi="Times New Roman" w:cs="Times New Roman"/>
      <w:sz w:val="24"/>
      <w:szCs w:val="24"/>
      <w:lang w:eastAsia="nl-BE"/>
    </w:rPr>
  </w:style>
  <w:style w:type="character" w:customStyle="1" w:styleId="particle">
    <w:name w:val="p_article"/>
    <w:basedOn w:val="Standaardalinea-lettertype"/>
    <w:rsid w:val="00E27B24"/>
  </w:style>
  <w:style w:type="character" w:customStyle="1" w:styleId="plist">
    <w:name w:val="p_list"/>
    <w:basedOn w:val="Standaardalinea-lettertype"/>
    <w:rsid w:val="00E27B24"/>
  </w:style>
  <w:style w:type="character" w:customStyle="1" w:styleId="linktitle">
    <w:name w:val="linktitle"/>
    <w:basedOn w:val="Standaardalinea-lettertype"/>
    <w:rsid w:val="00E27B24"/>
  </w:style>
  <w:style w:type="paragraph" w:styleId="Koptekst">
    <w:name w:val="header"/>
    <w:basedOn w:val="Standaard"/>
    <w:link w:val="KoptekstChar"/>
    <w:uiPriority w:val="99"/>
    <w:unhideWhenUsed/>
    <w:rsid w:val="00DA1AF7"/>
    <w:pPr>
      <w:tabs>
        <w:tab w:val="center" w:pos="4536"/>
        <w:tab w:val="right" w:pos="9072"/>
      </w:tabs>
    </w:pPr>
  </w:style>
  <w:style w:type="character" w:customStyle="1" w:styleId="KoptekstChar">
    <w:name w:val="Koptekst Char"/>
    <w:basedOn w:val="Standaardalinea-lettertype"/>
    <w:link w:val="Koptekst"/>
    <w:uiPriority w:val="99"/>
    <w:rsid w:val="00DA1AF7"/>
  </w:style>
  <w:style w:type="paragraph" w:styleId="Voettekst">
    <w:name w:val="footer"/>
    <w:basedOn w:val="Standaard"/>
    <w:link w:val="VoettekstChar"/>
    <w:uiPriority w:val="99"/>
    <w:unhideWhenUsed/>
    <w:rsid w:val="00DA1AF7"/>
    <w:pPr>
      <w:tabs>
        <w:tab w:val="center" w:pos="4536"/>
        <w:tab w:val="right" w:pos="9072"/>
      </w:tabs>
    </w:pPr>
  </w:style>
  <w:style w:type="character" w:customStyle="1" w:styleId="VoettekstChar">
    <w:name w:val="Voettekst Char"/>
    <w:basedOn w:val="Standaardalinea-lettertype"/>
    <w:link w:val="Voettekst"/>
    <w:uiPriority w:val="99"/>
    <w:rsid w:val="00DA1AF7"/>
  </w:style>
  <w:style w:type="paragraph" w:styleId="Voetnoottekst">
    <w:name w:val="footnote text"/>
    <w:basedOn w:val="Standaard"/>
    <w:link w:val="VoetnoottekstChar"/>
    <w:uiPriority w:val="99"/>
    <w:unhideWhenUsed/>
    <w:rsid w:val="00B445B5"/>
    <w:rPr>
      <w:sz w:val="20"/>
      <w:szCs w:val="20"/>
    </w:rPr>
  </w:style>
  <w:style w:type="character" w:customStyle="1" w:styleId="VoetnoottekstChar">
    <w:name w:val="Voetnoottekst Char"/>
    <w:basedOn w:val="Standaardalinea-lettertype"/>
    <w:link w:val="Voetnoottekst"/>
    <w:uiPriority w:val="99"/>
    <w:rsid w:val="00B445B5"/>
    <w:rPr>
      <w:sz w:val="20"/>
      <w:szCs w:val="20"/>
    </w:rPr>
  </w:style>
  <w:style w:type="character" w:styleId="Voetnootmarkering">
    <w:name w:val="footnote reference"/>
    <w:basedOn w:val="Standaardalinea-lettertype"/>
    <w:uiPriority w:val="99"/>
    <w:semiHidden/>
    <w:unhideWhenUsed/>
    <w:rsid w:val="00B445B5"/>
    <w:rPr>
      <w:vertAlign w:val="superscript"/>
    </w:rPr>
  </w:style>
  <w:style w:type="paragraph" w:styleId="Ballontekst">
    <w:name w:val="Balloon Text"/>
    <w:basedOn w:val="Standaard"/>
    <w:link w:val="BallontekstChar"/>
    <w:uiPriority w:val="99"/>
    <w:semiHidden/>
    <w:unhideWhenUsed/>
    <w:rsid w:val="00A4162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41620"/>
    <w:rPr>
      <w:rFonts w:ascii="Segoe UI" w:hAnsi="Segoe UI" w:cs="Segoe UI"/>
      <w:sz w:val="18"/>
      <w:szCs w:val="18"/>
    </w:rPr>
  </w:style>
  <w:style w:type="paragraph" w:styleId="Revisie">
    <w:name w:val="Revision"/>
    <w:hidden/>
    <w:uiPriority w:val="99"/>
    <w:semiHidden/>
    <w:rsid w:val="00E57476"/>
    <w:pPr>
      <w:spacing w:after="0" w:line="240" w:lineRule="auto"/>
    </w:pPr>
  </w:style>
  <w:style w:type="character" w:styleId="Onopgelostemelding">
    <w:name w:val="Unresolved Mention"/>
    <w:basedOn w:val="Standaardalinea-lettertype"/>
    <w:uiPriority w:val="99"/>
    <w:semiHidden/>
    <w:unhideWhenUsed/>
    <w:rsid w:val="00A44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94922">
      <w:bodyDiv w:val="1"/>
      <w:marLeft w:val="0"/>
      <w:marRight w:val="0"/>
      <w:marTop w:val="0"/>
      <w:marBottom w:val="0"/>
      <w:divBdr>
        <w:top w:val="none" w:sz="0" w:space="0" w:color="auto"/>
        <w:left w:val="none" w:sz="0" w:space="0" w:color="auto"/>
        <w:bottom w:val="none" w:sz="0" w:space="0" w:color="auto"/>
        <w:right w:val="none" w:sz="0" w:space="0" w:color="auto"/>
      </w:divBdr>
    </w:div>
    <w:div w:id="167447088">
      <w:bodyDiv w:val="1"/>
      <w:marLeft w:val="0"/>
      <w:marRight w:val="0"/>
      <w:marTop w:val="0"/>
      <w:marBottom w:val="0"/>
      <w:divBdr>
        <w:top w:val="none" w:sz="0" w:space="0" w:color="auto"/>
        <w:left w:val="none" w:sz="0" w:space="0" w:color="auto"/>
        <w:bottom w:val="none" w:sz="0" w:space="0" w:color="auto"/>
        <w:right w:val="none" w:sz="0" w:space="0" w:color="auto"/>
      </w:divBdr>
    </w:div>
    <w:div w:id="326791576">
      <w:bodyDiv w:val="1"/>
      <w:marLeft w:val="0"/>
      <w:marRight w:val="0"/>
      <w:marTop w:val="0"/>
      <w:marBottom w:val="0"/>
      <w:divBdr>
        <w:top w:val="none" w:sz="0" w:space="0" w:color="auto"/>
        <w:left w:val="none" w:sz="0" w:space="0" w:color="auto"/>
        <w:bottom w:val="none" w:sz="0" w:space="0" w:color="auto"/>
        <w:right w:val="none" w:sz="0" w:space="0" w:color="auto"/>
      </w:divBdr>
      <w:divsChild>
        <w:div w:id="1261374464">
          <w:marLeft w:val="0"/>
          <w:marRight w:val="-2400"/>
          <w:marTop w:val="0"/>
          <w:marBottom w:val="0"/>
          <w:divBdr>
            <w:top w:val="none" w:sz="0" w:space="0" w:color="auto"/>
            <w:left w:val="none" w:sz="0" w:space="0" w:color="auto"/>
            <w:bottom w:val="none" w:sz="0" w:space="0" w:color="auto"/>
            <w:right w:val="none" w:sz="0" w:space="0" w:color="auto"/>
          </w:divBdr>
          <w:divsChild>
            <w:div w:id="974145780">
              <w:marLeft w:val="0"/>
              <w:marRight w:val="0"/>
              <w:marTop w:val="0"/>
              <w:marBottom w:val="0"/>
              <w:divBdr>
                <w:top w:val="none" w:sz="0" w:space="0" w:color="auto"/>
                <w:left w:val="none" w:sz="0" w:space="0" w:color="auto"/>
                <w:bottom w:val="none" w:sz="0" w:space="0" w:color="auto"/>
                <w:right w:val="none" w:sz="0" w:space="0" w:color="auto"/>
              </w:divBdr>
              <w:divsChild>
                <w:div w:id="136683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677">
          <w:marLeft w:val="432"/>
          <w:marRight w:val="432"/>
          <w:marTop w:val="150"/>
          <w:marBottom w:val="150"/>
          <w:divBdr>
            <w:top w:val="none" w:sz="0" w:space="0" w:color="auto"/>
            <w:left w:val="none" w:sz="0" w:space="0" w:color="auto"/>
            <w:bottom w:val="none" w:sz="0" w:space="0" w:color="auto"/>
            <w:right w:val="none" w:sz="0" w:space="0" w:color="auto"/>
          </w:divBdr>
        </w:div>
      </w:divsChild>
    </w:div>
    <w:div w:id="362633725">
      <w:bodyDiv w:val="1"/>
      <w:marLeft w:val="0"/>
      <w:marRight w:val="0"/>
      <w:marTop w:val="0"/>
      <w:marBottom w:val="0"/>
      <w:divBdr>
        <w:top w:val="none" w:sz="0" w:space="0" w:color="auto"/>
        <w:left w:val="none" w:sz="0" w:space="0" w:color="auto"/>
        <w:bottom w:val="none" w:sz="0" w:space="0" w:color="auto"/>
        <w:right w:val="none" w:sz="0" w:space="0" w:color="auto"/>
      </w:divBdr>
      <w:divsChild>
        <w:div w:id="149057784">
          <w:marLeft w:val="1080"/>
          <w:marRight w:val="0"/>
          <w:marTop w:val="100"/>
          <w:marBottom w:val="0"/>
          <w:divBdr>
            <w:top w:val="none" w:sz="0" w:space="0" w:color="auto"/>
            <w:left w:val="none" w:sz="0" w:space="0" w:color="auto"/>
            <w:bottom w:val="none" w:sz="0" w:space="0" w:color="auto"/>
            <w:right w:val="none" w:sz="0" w:space="0" w:color="auto"/>
          </w:divBdr>
        </w:div>
      </w:divsChild>
    </w:div>
    <w:div w:id="363988132">
      <w:bodyDiv w:val="1"/>
      <w:marLeft w:val="0"/>
      <w:marRight w:val="0"/>
      <w:marTop w:val="0"/>
      <w:marBottom w:val="0"/>
      <w:divBdr>
        <w:top w:val="none" w:sz="0" w:space="0" w:color="auto"/>
        <w:left w:val="none" w:sz="0" w:space="0" w:color="auto"/>
        <w:bottom w:val="none" w:sz="0" w:space="0" w:color="auto"/>
        <w:right w:val="none" w:sz="0" w:space="0" w:color="auto"/>
      </w:divBdr>
    </w:div>
    <w:div w:id="388459546">
      <w:bodyDiv w:val="1"/>
      <w:marLeft w:val="0"/>
      <w:marRight w:val="0"/>
      <w:marTop w:val="0"/>
      <w:marBottom w:val="0"/>
      <w:divBdr>
        <w:top w:val="none" w:sz="0" w:space="0" w:color="auto"/>
        <w:left w:val="none" w:sz="0" w:space="0" w:color="auto"/>
        <w:bottom w:val="none" w:sz="0" w:space="0" w:color="auto"/>
        <w:right w:val="none" w:sz="0" w:space="0" w:color="auto"/>
      </w:divBdr>
      <w:divsChild>
        <w:div w:id="894857562">
          <w:marLeft w:val="0"/>
          <w:marRight w:val="0"/>
          <w:marTop w:val="0"/>
          <w:marBottom w:val="0"/>
          <w:divBdr>
            <w:top w:val="none" w:sz="0" w:space="0" w:color="auto"/>
            <w:left w:val="none" w:sz="0" w:space="0" w:color="auto"/>
            <w:bottom w:val="none" w:sz="0" w:space="0" w:color="auto"/>
            <w:right w:val="none" w:sz="0" w:space="0" w:color="auto"/>
          </w:divBdr>
        </w:div>
        <w:div w:id="1089154525">
          <w:marLeft w:val="0"/>
          <w:marRight w:val="0"/>
          <w:marTop w:val="0"/>
          <w:marBottom w:val="0"/>
          <w:divBdr>
            <w:top w:val="none" w:sz="0" w:space="0" w:color="auto"/>
            <w:left w:val="none" w:sz="0" w:space="0" w:color="auto"/>
            <w:bottom w:val="none" w:sz="0" w:space="0" w:color="auto"/>
            <w:right w:val="none" w:sz="0" w:space="0" w:color="auto"/>
          </w:divBdr>
        </w:div>
      </w:divsChild>
    </w:div>
    <w:div w:id="390156139">
      <w:bodyDiv w:val="1"/>
      <w:marLeft w:val="0"/>
      <w:marRight w:val="0"/>
      <w:marTop w:val="0"/>
      <w:marBottom w:val="0"/>
      <w:divBdr>
        <w:top w:val="none" w:sz="0" w:space="0" w:color="auto"/>
        <w:left w:val="none" w:sz="0" w:space="0" w:color="auto"/>
        <w:bottom w:val="none" w:sz="0" w:space="0" w:color="auto"/>
        <w:right w:val="none" w:sz="0" w:space="0" w:color="auto"/>
      </w:divBdr>
    </w:div>
    <w:div w:id="432550762">
      <w:bodyDiv w:val="1"/>
      <w:marLeft w:val="0"/>
      <w:marRight w:val="0"/>
      <w:marTop w:val="0"/>
      <w:marBottom w:val="0"/>
      <w:divBdr>
        <w:top w:val="none" w:sz="0" w:space="0" w:color="auto"/>
        <w:left w:val="none" w:sz="0" w:space="0" w:color="auto"/>
        <w:bottom w:val="none" w:sz="0" w:space="0" w:color="auto"/>
        <w:right w:val="none" w:sz="0" w:space="0" w:color="auto"/>
      </w:divBdr>
    </w:div>
    <w:div w:id="645016432">
      <w:bodyDiv w:val="1"/>
      <w:marLeft w:val="0"/>
      <w:marRight w:val="0"/>
      <w:marTop w:val="0"/>
      <w:marBottom w:val="0"/>
      <w:divBdr>
        <w:top w:val="none" w:sz="0" w:space="0" w:color="auto"/>
        <w:left w:val="none" w:sz="0" w:space="0" w:color="auto"/>
        <w:bottom w:val="none" w:sz="0" w:space="0" w:color="auto"/>
        <w:right w:val="none" w:sz="0" w:space="0" w:color="auto"/>
      </w:divBdr>
      <w:divsChild>
        <w:div w:id="956446922">
          <w:marLeft w:val="0"/>
          <w:marRight w:val="0"/>
          <w:marTop w:val="0"/>
          <w:marBottom w:val="0"/>
          <w:divBdr>
            <w:top w:val="none" w:sz="0" w:space="0" w:color="auto"/>
            <w:left w:val="none" w:sz="0" w:space="0" w:color="auto"/>
            <w:bottom w:val="none" w:sz="0" w:space="0" w:color="auto"/>
            <w:right w:val="none" w:sz="0" w:space="0" w:color="auto"/>
          </w:divBdr>
        </w:div>
        <w:div w:id="703866088">
          <w:marLeft w:val="0"/>
          <w:marRight w:val="0"/>
          <w:marTop w:val="0"/>
          <w:marBottom w:val="0"/>
          <w:divBdr>
            <w:top w:val="none" w:sz="0" w:space="0" w:color="auto"/>
            <w:left w:val="none" w:sz="0" w:space="0" w:color="auto"/>
            <w:bottom w:val="none" w:sz="0" w:space="0" w:color="auto"/>
            <w:right w:val="none" w:sz="0" w:space="0" w:color="auto"/>
          </w:divBdr>
        </w:div>
        <w:div w:id="1592548690">
          <w:marLeft w:val="0"/>
          <w:marRight w:val="0"/>
          <w:marTop w:val="0"/>
          <w:marBottom w:val="0"/>
          <w:divBdr>
            <w:top w:val="none" w:sz="0" w:space="0" w:color="auto"/>
            <w:left w:val="none" w:sz="0" w:space="0" w:color="auto"/>
            <w:bottom w:val="none" w:sz="0" w:space="0" w:color="auto"/>
            <w:right w:val="none" w:sz="0" w:space="0" w:color="auto"/>
          </w:divBdr>
        </w:div>
        <w:div w:id="1010260491">
          <w:marLeft w:val="0"/>
          <w:marRight w:val="0"/>
          <w:marTop w:val="0"/>
          <w:marBottom w:val="0"/>
          <w:divBdr>
            <w:top w:val="none" w:sz="0" w:space="0" w:color="auto"/>
            <w:left w:val="none" w:sz="0" w:space="0" w:color="auto"/>
            <w:bottom w:val="none" w:sz="0" w:space="0" w:color="auto"/>
            <w:right w:val="none" w:sz="0" w:space="0" w:color="auto"/>
          </w:divBdr>
        </w:div>
        <w:div w:id="146289620">
          <w:marLeft w:val="0"/>
          <w:marRight w:val="0"/>
          <w:marTop w:val="0"/>
          <w:marBottom w:val="0"/>
          <w:divBdr>
            <w:top w:val="none" w:sz="0" w:space="0" w:color="auto"/>
            <w:left w:val="none" w:sz="0" w:space="0" w:color="auto"/>
            <w:bottom w:val="none" w:sz="0" w:space="0" w:color="auto"/>
            <w:right w:val="none" w:sz="0" w:space="0" w:color="auto"/>
          </w:divBdr>
        </w:div>
        <w:div w:id="1854029849">
          <w:marLeft w:val="0"/>
          <w:marRight w:val="0"/>
          <w:marTop w:val="0"/>
          <w:marBottom w:val="0"/>
          <w:divBdr>
            <w:top w:val="none" w:sz="0" w:space="0" w:color="auto"/>
            <w:left w:val="none" w:sz="0" w:space="0" w:color="auto"/>
            <w:bottom w:val="none" w:sz="0" w:space="0" w:color="auto"/>
            <w:right w:val="none" w:sz="0" w:space="0" w:color="auto"/>
          </w:divBdr>
        </w:div>
        <w:div w:id="284167262">
          <w:marLeft w:val="0"/>
          <w:marRight w:val="0"/>
          <w:marTop w:val="0"/>
          <w:marBottom w:val="0"/>
          <w:divBdr>
            <w:top w:val="none" w:sz="0" w:space="0" w:color="auto"/>
            <w:left w:val="none" w:sz="0" w:space="0" w:color="auto"/>
            <w:bottom w:val="none" w:sz="0" w:space="0" w:color="auto"/>
            <w:right w:val="none" w:sz="0" w:space="0" w:color="auto"/>
          </w:divBdr>
        </w:div>
        <w:div w:id="35088663">
          <w:marLeft w:val="0"/>
          <w:marRight w:val="0"/>
          <w:marTop w:val="0"/>
          <w:marBottom w:val="0"/>
          <w:divBdr>
            <w:top w:val="none" w:sz="0" w:space="0" w:color="auto"/>
            <w:left w:val="none" w:sz="0" w:space="0" w:color="auto"/>
            <w:bottom w:val="none" w:sz="0" w:space="0" w:color="auto"/>
            <w:right w:val="none" w:sz="0" w:space="0" w:color="auto"/>
          </w:divBdr>
        </w:div>
        <w:div w:id="1217662189">
          <w:marLeft w:val="0"/>
          <w:marRight w:val="0"/>
          <w:marTop w:val="0"/>
          <w:marBottom w:val="0"/>
          <w:divBdr>
            <w:top w:val="none" w:sz="0" w:space="0" w:color="auto"/>
            <w:left w:val="none" w:sz="0" w:space="0" w:color="auto"/>
            <w:bottom w:val="none" w:sz="0" w:space="0" w:color="auto"/>
            <w:right w:val="none" w:sz="0" w:space="0" w:color="auto"/>
          </w:divBdr>
        </w:div>
        <w:div w:id="1543907021">
          <w:marLeft w:val="0"/>
          <w:marRight w:val="0"/>
          <w:marTop w:val="0"/>
          <w:marBottom w:val="0"/>
          <w:divBdr>
            <w:top w:val="none" w:sz="0" w:space="0" w:color="auto"/>
            <w:left w:val="none" w:sz="0" w:space="0" w:color="auto"/>
            <w:bottom w:val="none" w:sz="0" w:space="0" w:color="auto"/>
            <w:right w:val="none" w:sz="0" w:space="0" w:color="auto"/>
          </w:divBdr>
        </w:div>
      </w:divsChild>
    </w:div>
    <w:div w:id="650980700">
      <w:bodyDiv w:val="1"/>
      <w:marLeft w:val="0"/>
      <w:marRight w:val="0"/>
      <w:marTop w:val="0"/>
      <w:marBottom w:val="0"/>
      <w:divBdr>
        <w:top w:val="none" w:sz="0" w:space="0" w:color="auto"/>
        <w:left w:val="none" w:sz="0" w:space="0" w:color="auto"/>
        <w:bottom w:val="none" w:sz="0" w:space="0" w:color="auto"/>
        <w:right w:val="none" w:sz="0" w:space="0" w:color="auto"/>
      </w:divBdr>
      <w:divsChild>
        <w:div w:id="982270565">
          <w:marLeft w:val="0"/>
          <w:marRight w:val="0"/>
          <w:marTop w:val="0"/>
          <w:marBottom w:val="0"/>
          <w:divBdr>
            <w:top w:val="none" w:sz="0" w:space="0" w:color="auto"/>
            <w:left w:val="none" w:sz="0" w:space="0" w:color="auto"/>
            <w:bottom w:val="none" w:sz="0" w:space="0" w:color="auto"/>
            <w:right w:val="none" w:sz="0" w:space="0" w:color="auto"/>
          </w:divBdr>
        </w:div>
        <w:div w:id="984550478">
          <w:marLeft w:val="0"/>
          <w:marRight w:val="0"/>
          <w:marTop w:val="0"/>
          <w:marBottom w:val="0"/>
          <w:divBdr>
            <w:top w:val="none" w:sz="0" w:space="0" w:color="auto"/>
            <w:left w:val="none" w:sz="0" w:space="0" w:color="auto"/>
            <w:bottom w:val="none" w:sz="0" w:space="0" w:color="auto"/>
            <w:right w:val="none" w:sz="0" w:space="0" w:color="auto"/>
          </w:divBdr>
        </w:div>
        <w:div w:id="415057205">
          <w:marLeft w:val="0"/>
          <w:marRight w:val="0"/>
          <w:marTop w:val="0"/>
          <w:marBottom w:val="0"/>
          <w:divBdr>
            <w:top w:val="none" w:sz="0" w:space="0" w:color="auto"/>
            <w:left w:val="none" w:sz="0" w:space="0" w:color="auto"/>
            <w:bottom w:val="none" w:sz="0" w:space="0" w:color="auto"/>
            <w:right w:val="none" w:sz="0" w:space="0" w:color="auto"/>
          </w:divBdr>
        </w:div>
        <w:div w:id="365060554">
          <w:marLeft w:val="0"/>
          <w:marRight w:val="0"/>
          <w:marTop w:val="0"/>
          <w:marBottom w:val="0"/>
          <w:divBdr>
            <w:top w:val="none" w:sz="0" w:space="0" w:color="auto"/>
            <w:left w:val="none" w:sz="0" w:space="0" w:color="auto"/>
            <w:bottom w:val="none" w:sz="0" w:space="0" w:color="auto"/>
            <w:right w:val="none" w:sz="0" w:space="0" w:color="auto"/>
          </w:divBdr>
        </w:div>
      </w:divsChild>
    </w:div>
    <w:div w:id="983701709">
      <w:bodyDiv w:val="1"/>
      <w:marLeft w:val="0"/>
      <w:marRight w:val="0"/>
      <w:marTop w:val="0"/>
      <w:marBottom w:val="0"/>
      <w:divBdr>
        <w:top w:val="none" w:sz="0" w:space="0" w:color="auto"/>
        <w:left w:val="none" w:sz="0" w:space="0" w:color="auto"/>
        <w:bottom w:val="none" w:sz="0" w:space="0" w:color="auto"/>
        <w:right w:val="none" w:sz="0" w:space="0" w:color="auto"/>
      </w:divBdr>
    </w:div>
    <w:div w:id="1078402975">
      <w:bodyDiv w:val="1"/>
      <w:marLeft w:val="0"/>
      <w:marRight w:val="0"/>
      <w:marTop w:val="0"/>
      <w:marBottom w:val="0"/>
      <w:divBdr>
        <w:top w:val="none" w:sz="0" w:space="0" w:color="auto"/>
        <w:left w:val="none" w:sz="0" w:space="0" w:color="auto"/>
        <w:bottom w:val="none" w:sz="0" w:space="0" w:color="auto"/>
        <w:right w:val="none" w:sz="0" w:space="0" w:color="auto"/>
      </w:divBdr>
    </w:div>
    <w:div w:id="1121454022">
      <w:bodyDiv w:val="1"/>
      <w:marLeft w:val="0"/>
      <w:marRight w:val="0"/>
      <w:marTop w:val="0"/>
      <w:marBottom w:val="0"/>
      <w:divBdr>
        <w:top w:val="none" w:sz="0" w:space="0" w:color="auto"/>
        <w:left w:val="none" w:sz="0" w:space="0" w:color="auto"/>
        <w:bottom w:val="none" w:sz="0" w:space="0" w:color="auto"/>
        <w:right w:val="none" w:sz="0" w:space="0" w:color="auto"/>
      </w:divBdr>
      <w:divsChild>
        <w:div w:id="693917778">
          <w:marLeft w:val="0"/>
          <w:marRight w:val="0"/>
          <w:marTop w:val="0"/>
          <w:marBottom w:val="0"/>
          <w:divBdr>
            <w:top w:val="none" w:sz="0" w:space="0" w:color="auto"/>
            <w:left w:val="none" w:sz="0" w:space="0" w:color="auto"/>
            <w:bottom w:val="none" w:sz="0" w:space="0" w:color="auto"/>
            <w:right w:val="none" w:sz="0" w:space="0" w:color="auto"/>
          </w:divBdr>
        </w:div>
        <w:div w:id="1587837924">
          <w:marLeft w:val="0"/>
          <w:marRight w:val="0"/>
          <w:marTop w:val="0"/>
          <w:marBottom w:val="0"/>
          <w:divBdr>
            <w:top w:val="none" w:sz="0" w:space="0" w:color="auto"/>
            <w:left w:val="none" w:sz="0" w:space="0" w:color="auto"/>
            <w:bottom w:val="none" w:sz="0" w:space="0" w:color="auto"/>
            <w:right w:val="none" w:sz="0" w:space="0" w:color="auto"/>
          </w:divBdr>
        </w:div>
        <w:div w:id="320238939">
          <w:marLeft w:val="0"/>
          <w:marRight w:val="0"/>
          <w:marTop w:val="0"/>
          <w:marBottom w:val="0"/>
          <w:divBdr>
            <w:top w:val="none" w:sz="0" w:space="0" w:color="auto"/>
            <w:left w:val="none" w:sz="0" w:space="0" w:color="auto"/>
            <w:bottom w:val="none" w:sz="0" w:space="0" w:color="auto"/>
            <w:right w:val="none" w:sz="0" w:space="0" w:color="auto"/>
          </w:divBdr>
        </w:div>
      </w:divsChild>
    </w:div>
    <w:div w:id="1193769200">
      <w:bodyDiv w:val="1"/>
      <w:marLeft w:val="0"/>
      <w:marRight w:val="0"/>
      <w:marTop w:val="0"/>
      <w:marBottom w:val="0"/>
      <w:divBdr>
        <w:top w:val="none" w:sz="0" w:space="0" w:color="auto"/>
        <w:left w:val="none" w:sz="0" w:space="0" w:color="auto"/>
        <w:bottom w:val="none" w:sz="0" w:space="0" w:color="auto"/>
        <w:right w:val="none" w:sz="0" w:space="0" w:color="auto"/>
      </w:divBdr>
    </w:div>
    <w:div w:id="1416364054">
      <w:bodyDiv w:val="1"/>
      <w:marLeft w:val="0"/>
      <w:marRight w:val="0"/>
      <w:marTop w:val="0"/>
      <w:marBottom w:val="0"/>
      <w:divBdr>
        <w:top w:val="none" w:sz="0" w:space="0" w:color="auto"/>
        <w:left w:val="none" w:sz="0" w:space="0" w:color="auto"/>
        <w:bottom w:val="none" w:sz="0" w:space="0" w:color="auto"/>
        <w:right w:val="none" w:sz="0" w:space="0" w:color="auto"/>
      </w:divBdr>
      <w:divsChild>
        <w:div w:id="1093746180">
          <w:marLeft w:val="0"/>
          <w:marRight w:val="0"/>
          <w:marTop w:val="0"/>
          <w:marBottom w:val="0"/>
          <w:divBdr>
            <w:top w:val="none" w:sz="0" w:space="0" w:color="auto"/>
            <w:left w:val="none" w:sz="0" w:space="0" w:color="auto"/>
            <w:bottom w:val="none" w:sz="0" w:space="0" w:color="auto"/>
            <w:right w:val="none" w:sz="0" w:space="0" w:color="auto"/>
          </w:divBdr>
        </w:div>
        <w:div w:id="928537544">
          <w:marLeft w:val="0"/>
          <w:marRight w:val="0"/>
          <w:marTop w:val="0"/>
          <w:marBottom w:val="0"/>
          <w:divBdr>
            <w:top w:val="none" w:sz="0" w:space="0" w:color="auto"/>
            <w:left w:val="none" w:sz="0" w:space="0" w:color="auto"/>
            <w:bottom w:val="none" w:sz="0" w:space="0" w:color="auto"/>
            <w:right w:val="none" w:sz="0" w:space="0" w:color="auto"/>
          </w:divBdr>
        </w:div>
        <w:div w:id="1041711825">
          <w:marLeft w:val="0"/>
          <w:marRight w:val="0"/>
          <w:marTop w:val="0"/>
          <w:marBottom w:val="0"/>
          <w:divBdr>
            <w:top w:val="none" w:sz="0" w:space="0" w:color="auto"/>
            <w:left w:val="none" w:sz="0" w:space="0" w:color="auto"/>
            <w:bottom w:val="none" w:sz="0" w:space="0" w:color="auto"/>
            <w:right w:val="none" w:sz="0" w:space="0" w:color="auto"/>
          </w:divBdr>
        </w:div>
        <w:div w:id="1568488601">
          <w:marLeft w:val="0"/>
          <w:marRight w:val="0"/>
          <w:marTop w:val="0"/>
          <w:marBottom w:val="0"/>
          <w:divBdr>
            <w:top w:val="none" w:sz="0" w:space="0" w:color="auto"/>
            <w:left w:val="none" w:sz="0" w:space="0" w:color="auto"/>
            <w:bottom w:val="none" w:sz="0" w:space="0" w:color="auto"/>
            <w:right w:val="none" w:sz="0" w:space="0" w:color="auto"/>
          </w:divBdr>
        </w:div>
      </w:divsChild>
    </w:div>
    <w:div w:id="1459176818">
      <w:bodyDiv w:val="1"/>
      <w:marLeft w:val="0"/>
      <w:marRight w:val="0"/>
      <w:marTop w:val="0"/>
      <w:marBottom w:val="0"/>
      <w:divBdr>
        <w:top w:val="none" w:sz="0" w:space="0" w:color="auto"/>
        <w:left w:val="none" w:sz="0" w:space="0" w:color="auto"/>
        <w:bottom w:val="none" w:sz="0" w:space="0" w:color="auto"/>
        <w:right w:val="none" w:sz="0" w:space="0" w:color="auto"/>
      </w:divBdr>
    </w:div>
    <w:div w:id="1530679060">
      <w:bodyDiv w:val="1"/>
      <w:marLeft w:val="0"/>
      <w:marRight w:val="0"/>
      <w:marTop w:val="0"/>
      <w:marBottom w:val="0"/>
      <w:divBdr>
        <w:top w:val="none" w:sz="0" w:space="0" w:color="auto"/>
        <w:left w:val="none" w:sz="0" w:space="0" w:color="auto"/>
        <w:bottom w:val="none" w:sz="0" w:space="0" w:color="auto"/>
        <w:right w:val="none" w:sz="0" w:space="0" w:color="auto"/>
      </w:divBdr>
      <w:divsChild>
        <w:div w:id="1534422726">
          <w:marLeft w:val="0"/>
          <w:marRight w:val="0"/>
          <w:marTop w:val="0"/>
          <w:marBottom w:val="0"/>
          <w:divBdr>
            <w:top w:val="none" w:sz="0" w:space="0" w:color="auto"/>
            <w:left w:val="none" w:sz="0" w:space="0" w:color="auto"/>
            <w:bottom w:val="none" w:sz="0" w:space="0" w:color="auto"/>
            <w:right w:val="none" w:sz="0" w:space="0" w:color="auto"/>
          </w:divBdr>
        </w:div>
      </w:divsChild>
    </w:div>
    <w:div w:id="1993102544">
      <w:bodyDiv w:val="1"/>
      <w:marLeft w:val="0"/>
      <w:marRight w:val="0"/>
      <w:marTop w:val="0"/>
      <w:marBottom w:val="0"/>
      <w:divBdr>
        <w:top w:val="none" w:sz="0" w:space="0" w:color="auto"/>
        <w:left w:val="none" w:sz="0" w:space="0" w:color="auto"/>
        <w:bottom w:val="none" w:sz="0" w:space="0" w:color="auto"/>
        <w:right w:val="none" w:sz="0" w:space="0" w:color="auto"/>
      </w:divBdr>
      <w:divsChild>
        <w:div w:id="1202401953">
          <w:marLeft w:val="0"/>
          <w:marRight w:val="0"/>
          <w:marTop w:val="0"/>
          <w:marBottom w:val="0"/>
          <w:divBdr>
            <w:top w:val="none" w:sz="0" w:space="0" w:color="auto"/>
            <w:left w:val="none" w:sz="0" w:space="0" w:color="auto"/>
            <w:bottom w:val="none" w:sz="0" w:space="0" w:color="auto"/>
            <w:right w:val="none" w:sz="0" w:space="0" w:color="auto"/>
          </w:divBdr>
        </w:div>
        <w:div w:id="1550532285">
          <w:marLeft w:val="0"/>
          <w:marRight w:val="0"/>
          <w:marTop w:val="0"/>
          <w:marBottom w:val="0"/>
          <w:divBdr>
            <w:top w:val="none" w:sz="0" w:space="0" w:color="auto"/>
            <w:left w:val="none" w:sz="0" w:space="0" w:color="auto"/>
            <w:bottom w:val="none" w:sz="0" w:space="0" w:color="auto"/>
            <w:right w:val="none" w:sz="0" w:space="0" w:color="auto"/>
          </w:divBdr>
        </w:div>
      </w:divsChild>
    </w:div>
    <w:div w:id="2037344974">
      <w:bodyDiv w:val="1"/>
      <w:marLeft w:val="0"/>
      <w:marRight w:val="0"/>
      <w:marTop w:val="0"/>
      <w:marBottom w:val="0"/>
      <w:divBdr>
        <w:top w:val="none" w:sz="0" w:space="0" w:color="auto"/>
        <w:left w:val="none" w:sz="0" w:space="0" w:color="auto"/>
        <w:bottom w:val="none" w:sz="0" w:space="0" w:color="auto"/>
        <w:right w:val="none" w:sz="0" w:space="0" w:color="auto"/>
      </w:divBdr>
    </w:div>
    <w:div w:id="2038040499">
      <w:bodyDiv w:val="1"/>
      <w:marLeft w:val="0"/>
      <w:marRight w:val="0"/>
      <w:marTop w:val="0"/>
      <w:marBottom w:val="0"/>
      <w:divBdr>
        <w:top w:val="none" w:sz="0" w:space="0" w:color="auto"/>
        <w:left w:val="none" w:sz="0" w:space="0" w:color="auto"/>
        <w:bottom w:val="none" w:sz="0" w:space="0" w:color="auto"/>
        <w:right w:val="none" w:sz="0" w:space="0" w:color="auto"/>
      </w:divBdr>
    </w:div>
    <w:div w:id="2127388083">
      <w:bodyDiv w:val="1"/>
      <w:marLeft w:val="0"/>
      <w:marRight w:val="0"/>
      <w:marTop w:val="0"/>
      <w:marBottom w:val="0"/>
      <w:divBdr>
        <w:top w:val="none" w:sz="0" w:space="0" w:color="auto"/>
        <w:left w:val="none" w:sz="0" w:space="0" w:color="auto"/>
        <w:bottom w:val="none" w:sz="0" w:space="0" w:color="auto"/>
        <w:right w:val="none" w:sz="0" w:space="0" w:color="auto"/>
      </w:divBdr>
      <w:divsChild>
        <w:div w:id="1287279368">
          <w:marLeft w:val="1210"/>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tie.belgium.be/nl/publicaties/evaluatie_van_de_wet_van_17_maart_201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justitie.belgium.be/nl/publicaties/evaluatie_van_de_wet_van_17_maart_2013" TargetMode="External"/><Relationship Id="rId3" Type="http://schemas.openxmlformats.org/officeDocument/2006/relationships/hyperlink" Target="http://www.kbs-frb.be/nl/praktische-gids-voor-familiale-bewindvoerders" TargetMode="External"/><Relationship Id="rId7" Type="http://schemas.openxmlformats.org/officeDocument/2006/relationships/hyperlink" Target="http://www.justitie.belgium.be/nl/publicaties/evaluatie_van_de_wet_van_17_maart_2013" TargetMode="External"/><Relationship Id="rId2" Type="http://schemas.openxmlformats.org/officeDocument/2006/relationships/hyperlink" Target="http://www.justitie.belgium.be/nl/publicaties/evaluatie_van_de_wet_van_17_maart_2013" TargetMode="External"/><Relationship Id="rId1" Type="http://schemas.openxmlformats.org/officeDocument/2006/relationships/hyperlink" Target="http://www.notaris.be/nieuws-pers/brochures/downloads/230" TargetMode="External"/><Relationship Id="rId6" Type="http://schemas.openxmlformats.org/officeDocument/2006/relationships/hyperlink" Target="http://www.trefpuntstan.be/ontmoet-deel/deel-je-verhaal-detail-pagina/2024/03/29/Open-brief-inzake-familiale-bewindvoering" TargetMode="External"/><Relationship Id="rId5" Type="http://schemas.openxmlformats.org/officeDocument/2006/relationships/hyperlink" Target="http://www.rechtbanken-tribunaux.be/sites/default/files/media/vgjp-prtp/oost-vlaanderen/documents/bewind-leidraad-wie-wat-waarom-hoe-en-wanneer_202211.pdf" TargetMode="External"/><Relationship Id="rId4" Type="http://schemas.openxmlformats.org/officeDocument/2006/relationships/hyperlink" Target="http://www.justitie.belgium.be/nl/publicaties/evaluatie_van_de_wet_van_17_maart_2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DD165-74F0-4A0C-99DE-2125BDF7E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15</Pages>
  <Words>5622</Words>
  <Characters>30926</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Maerckaert, Tom</dc:creator>
  <cp:keywords/>
  <dc:description/>
  <cp:lastModifiedBy>JANS Amber</cp:lastModifiedBy>
  <cp:revision>52</cp:revision>
  <cp:lastPrinted>2022-10-13T10:53:00Z</cp:lastPrinted>
  <dcterms:created xsi:type="dcterms:W3CDTF">2026-03-13T15:40:00Z</dcterms:created>
  <dcterms:modified xsi:type="dcterms:W3CDTF">2026-03-20T09:08:00Z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98ee26c7-04cb-46cd-888e-57d9dfcaf87a</vt:lpwstr>
  </property>
</Properties>
</file>