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BB30" w14:textId="77777777" w:rsidR="00F46F2D" w:rsidRPr="00BA7D20" w:rsidRDefault="0050565F" w:rsidP="00F46F2D">
      <w:pPr>
        <w:jc w:val="both"/>
        <w:rPr>
          <w:rFonts w:cstheme="minorHAnsi"/>
          <w:b/>
          <w:bCs/>
          <w:shd w:val="clear" w:color="auto" w:fill="FFFFFF"/>
          <w:lang w:val="nl-NL"/>
        </w:rPr>
      </w:pPr>
      <w:r w:rsidRPr="00BA7D20">
        <w:rPr>
          <w:rFonts w:cstheme="minorHAnsi"/>
          <w:b/>
          <w:bCs/>
          <w:shd w:val="clear" w:color="auto" w:fill="FFFFFF"/>
          <w:lang w:val="nl-NL"/>
        </w:rPr>
        <w:t>1</w:t>
      </w:r>
      <w:r w:rsidR="00F46F2D" w:rsidRPr="00BA7D20">
        <w:rPr>
          <w:rFonts w:cstheme="minorHAnsi"/>
          <w:b/>
          <w:bCs/>
          <w:shd w:val="clear" w:color="auto" w:fill="FFFFFF"/>
          <w:lang w:val="nl-NL"/>
        </w:rPr>
        <w:t>21</w:t>
      </w:r>
      <w:r w:rsidR="00927FD2" w:rsidRPr="00BA7D20">
        <w:rPr>
          <w:rFonts w:cstheme="minorHAnsi"/>
          <w:b/>
          <w:bCs/>
          <w:shd w:val="clear" w:color="auto" w:fill="FFFFFF"/>
          <w:lang w:val="nl-NL"/>
        </w:rPr>
        <w:t>.</w:t>
      </w:r>
      <w:r w:rsidR="0032266B" w:rsidRPr="00BA7D20">
        <w:rPr>
          <w:rFonts w:cstheme="minorHAnsi"/>
          <w:b/>
          <w:bCs/>
          <w:shd w:val="clear" w:color="auto" w:fill="FFFFFF"/>
          <w:lang w:val="nl-NL"/>
        </w:rPr>
        <w:tab/>
      </w:r>
      <w:r w:rsidR="00F46F2D" w:rsidRPr="00BA7D20">
        <w:rPr>
          <w:rFonts w:cstheme="minorHAnsi"/>
          <w:b/>
          <w:bCs/>
          <w:shd w:val="clear" w:color="auto" w:fill="FFFFFF"/>
          <w:lang w:val="nl-NL"/>
        </w:rPr>
        <w:t>§ 1. Het beschikkend gedeelte van de beslissing houdende verklaring van afwezigheid vermeldt de gegevens opgesomd in artikel 56; het stelt, in voorkomend geval, de onmogelijkheid vast om sommige van die gegevens te vermelden.</w:t>
      </w:r>
    </w:p>
    <w:p w14:paraId="04ACED49" w14:textId="2BC302FF" w:rsidR="00F46F2D" w:rsidRPr="00BA7D20" w:rsidRDefault="00F46F2D" w:rsidP="00F46F2D">
      <w:pPr>
        <w:ind w:firstLine="708"/>
        <w:jc w:val="both"/>
        <w:rPr>
          <w:rFonts w:cstheme="minorHAnsi"/>
          <w:b/>
          <w:bCs/>
          <w:shd w:val="clear" w:color="auto" w:fill="FFFFFF"/>
          <w:lang w:val="nl-NL"/>
        </w:rPr>
      </w:pPr>
      <w:r w:rsidRPr="00BA7D20">
        <w:rPr>
          <w:rFonts w:cstheme="minorHAnsi"/>
          <w:b/>
          <w:bCs/>
          <w:shd w:val="clear" w:color="auto" w:fill="FFFFFF"/>
          <w:lang w:val="nl-NL"/>
        </w:rPr>
        <w:t>Op verzoek van de procureur des Konings stuurt de griffier onmiddellijk de gegevens nodig voor de opmaak van de akte van afwezigheid ten gevolge van de in kracht van gewijsde gegane beslissing houdende verklaring van afwezigheid via de DABS naar de bevoegde ambtenaar van de burgerlijke stand.</w:t>
      </w:r>
    </w:p>
    <w:p w14:paraId="7917AB03" w14:textId="77777777" w:rsidR="00F46F2D" w:rsidRPr="00BA7D20" w:rsidRDefault="00F46F2D" w:rsidP="00F46F2D">
      <w:pPr>
        <w:ind w:firstLine="708"/>
        <w:jc w:val="both"/>
        <w:rPr>
          <w:rFonts w:cstheme="minorHAnsi"/>
          <w:b/>
          <w:bCs/>
          <w:shd w:val="clear" w:color="auto" w:fill="FFFFFF"/>
          <w:lang w:val="nl-NL"/>
        </w:rPr>
      </w:pPr>
      <w:r w:rsidRPr="00BA7D20">
        <w:rPr>
          <w:rFonts w:cstheme="minorHAnsi"/>
          <w:b/>
          <w:bCs/>
          <w:shd w:val="clear" w:color="auto" w:fill="FFFFFF"/>
          <w:lang w:val="nl-NL"/>
        </w:rPr>
        <w:t>De ambtenaar van de burgerlijke stand van de laatste plaats van inschrijving van de afwezige in het bevolkings-, vreemdelingen- of wachtregister in België, of bij gebrek hieraan, deze van Brussel, maakt onmiddellijk de akte van afwezigheid ten gevolge van de rechterlijke beslissing op.</w:t>
      </w:r>
    </w:p>
    <w:p w14:paraId="0E352AB9" w14:textId="4647E6CE" w:rsidR="00114701" w:rsidRPr="00BA7D20" w:rsidRDefault="00F46F2D" w:rsidP="00F46F2D">
      <w:pPr>
        <w:ind w:firstLine="708"/>
        <w:jc w:val="both"/>
        <w:rPr>
          <w:rFonts w:cstheme="minorHAnsi"/>
          <w:b/>
          <w:bCs/>
          <w:shd w:val="clear" w:color="auto" w:fill="FFFFFF"/>
          <w:lang w:val="nl-NL"/>
        </w:rPr>
      </w:pPr>
      <w:r w:rsidRPr="00BA7D20">
        <w:rPr>
          <w:rFonts w:cstheme="minorHAnsi"/>
          <w:b/>
          <w:bCs/>
          <w:shd w:val="clear" w:color="auto" w:fill="FFFFFF"/>
          <w:lang w:val="nl-NL"/>
        </w:rPr>
        <w:t>§ 2. De beslissing houdende verklaring van afwezigheid heeft alle gevolgen van het overlijden vanaf de datum van de opmaak van de akte van afwezigheid.</w:t>
      </w:r>
    </w:p>
    <w:p w14:paraId="4F6E4F71" w14:textId="77777777" w:rsidR="00F46F2D" w:rsidRPr="00BA7D20" w:rsidRDefault="00F46F2D" w:rsidP="00F46F2D">
      <w:pPr>
        <w:ind w:firstLine="708"/>
        <w:jc w:val="both"/>
        <w:rPr>
          <w:rFonts w:cstheme="minorHAnsi"/>
          <w:b/>
          <w:bCs/>
          <w:shd w:val="clear" w:color="auto" w:fill="FFFFFF"/>
          <w:lang w:val="nl-NL"/>
        </w:rPr>
      </w:pPr>
    </w:p>
    <w:p w14:paraId="448923B4" w14:textId="77777777" w:rsidR="00F46F2D" w:rsidRPr="00BA7D20" w:rsidRDefault="0050565F" w:rsidP="00F46F2D">
      <w:pPr>
        <w:jc w:val="both"/>
        <w:rPr>
          <w:rFonts w:cstheme="minorHAnsi"/>
          <w:i/>
          <w:iCs/>
          <w:shd w:val="clear" w:color="auto" w:fill="FFFFFF"/>
          <w:lang w:val="fr-FR"/>
        </w:rPr>
      </w:pPr>
      <w:r w:rsidRPr="00BA7D20">
        <w:rPr>
          <w:rFonts w:cstheme="minorHAnsi"/>
          <w:i/>
          <w:iCs/>
          <w:shd w:val="clear" w:color="auto" w:fill="FFFFFF"/>
          <w:lang w:val="fr-FR"/>
        </w:rPr>
        <w:t>1</w:t>
      </w:r>
      <w:r w:rsidR="00F46F2D" w:rsidRPr="00BA7D20">
        <w:rPr>
          <w:rFonts w:cstheme="minorHAnsi"/>
          <w:i/>
          <w:iCs/>
          <w:shd w:val="clear" w:color="auto" w:fill="FFFFFF"/>
          <w:lang w:val="fr-FR"/>
        </w:rPr>
        <w:t>21</w:t>
      </w:r>
      <w:r w:rsidR="00927FD2" w:rsidRPr="00BA7D20">
        <w:rPr>
          <w:rFonts w:cstheme="minorHAnsi"/>
          <w:i/>
          <w:iCs/>
          <w:shd w:val="clear" w:color="auto" w:fill="FFFFFF"/>
          <w:lang w:val="fr-FR"/>
        </w:rPr>
        <w:t>.</w:t>
      </w:r>
      <w:r w:rsidR="00A160DA" w:rsidRPr="00BA7D20">
        <w:rPr>
          <w:rFonts w:cstheme="minorHAnsi"/>
          <w:i/>
          <w:iCs/>
          <w:shd w:val="clear" w:color="auto" w:fill="FFFFFF"/>
          <w:lang w:val="fr-FR"/>
        </w:rPr>
        <w:tab/>
      </w:r>
      <w:r w:rsidR="00F46F2D" w:rsidRPr="00BA7D20">
        <w:rPr>
          <w:rFonts w:cstheme="minorHAnsi"/>
          <w:i/>
          <w:iCs/>
          <w:shd w:val="clear" w:color="auto" w:fill="FFFFFF"/>
          <w:lang w:val="fr-FR"/>
        </w:rPr>
        <w:t>§ 1er. Le dispositif de la décision déclarative d'absence contient les énonciations prévues à l'article 56; il constate le cas échéant l'impossibilité de faire mention de certaines d'entre elles.</w:t>
      </w:r>
    </w:p>
    <w:p w14:paraId="3F29938C" w14:textId="77777777" w:rsidR="00F46F2D" w:rsidRPr="00BA7D20" w:rsidRDefault="00F46F2D" w:rsidP="00F46F2D">
      <w:pPr>
        <w:ind w:firstLine="708"/>
        <w:jc w:val="both"/>
        <w:rPr>
          <w:rFonts w:cstheme="minorHAnsi"/>
          <w:i/>
          <w:iCs/>
          <w:shd w:val="clear" w:color="auto" w:fill="FFFFFF"/>
          <w:lang w:val="fr-FR"/>
        </w:rPr>
      </w:pPr>
      <w:r w:rsidRPr="00BA7D20">
        <w:rPr>
          <w:rFonts w:cstheme="minorHAnsi"/>
          <w:i/>
          <w:iCs/>
          <w:shd w:val="clear" w:color="auto" w:fill="FFFFFF"/>
          <w:lang w:val="fr-FR"/>
        </w:rPr>
        <w:t>A la demande du procureur du Roi, le greffier transmet immédiatement via la BAEC à l'officier de l'état civil compétent les données nécessaires à l'établissement de l'acte d'absence suite à la décision déclarative d'absence coulée en force de chose jugée.</w:t>
      </w:r>
    </w:p>
    <w:p w14:paraId="7513E8DF" w14:textId="77777777" w:rsidR="00F46F2D" w:rsidRPr="00BA7D20" w:rsidRDefault="00F46F2D" w:rsidP="00F46F2D">
      <w:pPr>
        <w:ind w:firstLine="708"/>
        <w:jc w:val="both"/>
        <w:rPr>
          <w:rFonts w:cstheme="minorHAnsi"/>
          <w:i/>
          <w:iCs/>
          <w:shd w:val="clear" w:color="auto" w:fill="FFFFFF"/>
          <w:lang w:val="fr-FR"/>
        </w:rPr>
      </w:pPr>
      <w:r w:rsidRPr="00BA7D20">
        <w:rPr>
          <w:rFonts w:cstheme="minorHAnsi"/>
          <w:i/>
          <w:iCs/>
          <w:shd w:val="clear" w:color="auto" w:fill="FFFFFF"/>
          <w:lang w:val="fr-FR"/>
        </w:rPr>
        <w:t>L'officier de l'état civil du dernier lieu d'inscription de l'absent dans le registre de la population, le registre des étrangers ou le registre d'attente en Belgique, ou, à défaut, celui de Bruxelles, établit immédiatement l'acte d'absence à la suite de la décision judiciaire.</w:t>
      </w:r>
    </w:p>
    <w:p w14:paraId="3310C6D4" w14:textId="64178345" w:rsidR="00077C6C" w:rsidRPr="00BA7D20" w:rsidRDefault="00F46F2D" w:rsidP="00F46F2D">
      <w:pPr>
        <w:ind w:firstLine="708"/>
        <w:jc w:val="both"/>
        <w:rPr>
          <w:rFonts w:cstheme="minorHAnsi"/>
          <w:i/>
          <w:iCs/>
          <w:shd w:val="clear" w:color="auto" w:fill="FFFFFF"/>
          <w:lang w:val="fr-FR"/>
        </w:rPr>
      </w:pPr>
      <w:r w:rsidRPr="00BA7D20">
        <w:rPr>
          <w:rFonts w:cstheme="minorHAnsi"/>
          <w:i/>
          <w:iCs/>
          <w:shd w:val="clear" w:color="auto" w:fill="FFFFFF"/>
          <w:lang w:val="fr-FR"/>
        </w:rPr>
        <w:t>§ 2. La décision déclarative d'absence produit tous les effets du décès à la date de l'établissement de l'acte d'absence.</w:t>
      </w:r>
    </w:p>
    <w:p w14:paraId="33663533" w14:textId="77777777" w:rsidR="00F46F2D" w:rsidRPr="00BA7D20" w:rsidRDefault="00F46F2D" w:rsidP="00F46F2D">
      <w:pPr>
        <w:jc w:val="both"/>
        <w:rPr>
          <w:rFonts w:cstheme="minorHAnsi"/>
          <w:color w:val="000000"/>
          <w:shd w:val="clear" w:color="auto" w:fill="FFFFFF"/>
          <w:lang w:val="fr-FR"/>
        </w:rPr>
      </w:pPr>
    </w:p>
    <w:p w14:paraId="1785ED84" w14:textId="4E2B0490" w:rsidR="00114701" w:rsidRPr="00BA7D20" w:rsidRDefault="00F46F2D" w:rsidP="00114701">
      <w:pPr>
        <w:jc w:val="both"/>
        <w:rPr>
          <w:rFonts w:cstheme="minorHAnsi"/>
          <w:lang w:val="nl-NL"/>
        </w:rPr>
      </w:pPr>
      <w:r w:rsidRPr="00BA7D20">
        <w:rPr>
          <w:rFonts w:cstheme="minorHAnsi"/>
          <w:lang w:val="nl-NL"/>
        </w:rPr>
        <w:t>Vervangen bij art. 5 Wet 18 juni 2018 (</w:t>
      </w:r>
      <w:r w:rsidRPr="00BA7D20">
        <w:rPr>
          <w:rFonts w:cstheme="minorHAnsi"/>
          <w:i/>
          <w:iCs/>
          <w:lang w:val="nl-NL"/>
        </w:rPr>
        <w:t>BS</w:t>
      </w:r>
      <w:r w:rsidRPr="00BA7D20">
        <w:rPr>
          <w:rFonts w:cstheme="minorHAnsi"/>
          <w:lang w:val="nl-NL"/>
        </w:rPr>
        <w:t xml:space="preserve"> 2 juli 2018), met ingang van 31 maart 2019 (art. 118, zelf gewijzigd bij art. 186 Wet 21 december 2018 (</w:t>
      </w:r>
      <w:r w:rsidRPr="00BA7D20">
        <w:rPr>
          <w:rFonts w:cstheme="minorHAnsi"/>
          <w:i/>
          <w:iCs/>
          <w:lang w:val="nl-NL"/>
        </w:rPr>
        <w:t>BS</w:t>
      </w:r>
      <w:r w:rsidRPr="00BA7D20">
        <w:rPr>
          <w:rFonts w:cstheme="minorHAnsi"/>
          <w:lang w:val="nl-NL"/>
        </w:rPr>
        <w:t xml:space="preserve"> 31 december 2018 (ed. 1)).</w:t>
      </w:r>
    </w:p>
    <w:p w14:paraId="635AEC6A" w14:textId="77777777" w:rsidR="00F46F2D" w:rsidRPr="00BA7D20" w:rsidRDefault="00F46F2D" w:rsidP="00114701">
      <w:pPr>
        <w:jc w:val="both"/>
        <w:rPr>
          <w:rFonts w:cstheme="minorHAnsi"/>
          <w:lang w:val="nl-NL"/>
        </w:rPr>
      </w:pPr>
    </w:p>
    <w:p w14:paraId="093B3E92" w14:textId="17FBAE2F" w:rsidR="007B0F0D" w:rsidRPr="00BA7D20" w:rsidRDefault="007B0F0D" w:rsidP="00114701">
      <w:pPr>
        <w:jc w:val="both"/>
        <w:rPr>
          <w:b/>
          <w:bCs/>
          <w:lang w:val="nl-NL"/>
        </w:rPr>
      </w:pPr>
      <w:r w:rsidRPr="00BA7D20">
        <w:rPr>
          <w:b/>
          <w:bCs/>
          <w:lang w:val="nl-NL"/>
        </w:rPr>
        <w:t>Zie</w:t>
      </w:r>
      <w:r w:rsidR="00FC0A09">
        <w:rPr>
          <w:b/>
          <w:bCs/>
          <w:lang w:val="nl-NL"/>
        </w:rPr>
        <w:t>:</w:t>
      </w:r>
      <w:r w:rsidRPr="00BA7D20">
        <w:rPr>
          <w:b/>
          <w:bCs/>
          <w:lang w:val="nl-NL"/>
        </w:rPr>
        <w:t xml:space="preserve"> art. </w:t>
      </w:r>
      <w:r w:rsidR="00B23EDC" w:rsidRPr="00BA7D20">
        <w:rPr>
          <w:b/>
          <w:bCs/>
          <w:lang w:val="nl-NL"/>
        </w:rPr>
        <w:t xml:space="preserve">56, </w:t>
      </w:r>
      <w:r w:rsidR="00835F4D" w:rsidRPr="00BA7D20">
        <w:rPr>
          <w:b/>
          <w:bCs/>
          <w:lang w:val="nl-NL"/>
        </w:rPr>
        <w:t>118</w:t>
      </w:r>
      <w:r w:rsidR="00B23EDC" w:rsidRPr="00BA7D20">
        <w:rPr>
          <w:b/>
          <w:bCs/>
          <w:lang w:val="nl-NL"/>
        </w:rPr>
        <w:t xml:space="preserve">, </w:t>
      </w:r>
      <w:r w:rsidR="00835F4D" w:rsidRPr="00BA7D20">
        <w:rPr>
          <w:b/>
          <w:bCs/>
          <w:lang w:val="nl-NL"/>
        </w:rPr>
        <w:t>119</w:t>
      </w:r>
      <w:r w:rsidR="00B23EDC" w:rsidRPr="00BA7D20">
        <w:rPr>
          <w:b/>
          <w:bCs/>
          <w:lang w:val="nl-NL"/>
        </w:rPr>
        <w:t>, 1</w:t>
      </w:r>
      <w:r w:rsidR="00835F4D" w:rsidRPr="00BA7D20">
        <w:rPr>
          <w:b/>
          <w:bCs/>
          <w:lang w:val="nl-NL"/>
        </w:rPr>
        <w:t>20</w:t>
      </w:r>
      <w:r w:rsidR="00B23EDC" w:rsidRPr="00BA7D20">
        <w:rPr>
          <w:b/>
          <w:bCs/>
          <w:lang w:val="nl-NL"/>
        </w:rPr>
        <w:t xml:space="preserve"> en 122</w:t>
      </w:r>
      <w:r w:rsidR="006D095B" w:rsidRPr="00BA7D20">
        <w:rPr>
          <w:b/>
          <w:bCs/>
          <w:lang w:val="nl-NL"/>
        </w:rPr>
        <w:t xml:space="preserve"> oud BW</w:t>
      </w:r>
    </w:p>
    <w:p w14:paraId="0054D788" w14:textId="77777777" w:rsidR="00BA3632" w:rsidRPr="00BA7D20" w:rsidRDefault="00BA3632">
      <w:pPr>
        <w:spacing w:after="160" w:line="259" w:lineRule="auto"/>
        <w:rPr>
          <w:b/>
          <w:bCs/>
          <w:sz w:val="28"/>
          <w:szCs w:val="28"/>
          <w:lang w:val="nl-NL"/>
        </w:rPr>
      </w:pPr>
      <w:r w:rsidRPr="00BA7D20">
        <w:rPr>
          <w:b/>
          <w:bCs/>
          <w:sz w:val="28"/>
          <w:szCs w:val="28"/>
          <w:lang w:val="nl-NL"/>
        </w:rPr>
        <w:br w:type="page"/>
      </w:r>
    </w:p>
    <w:p w14:paraId="0F1D5709" w14:textId="459C0332" w:rsidR="00505058" w:rsidRPr="00BA7D20" w:rsidRDefault="00505058" w:rsidP="00D85703">
      <w:pPr>
        <w:jc w:val="both"/>
        <w:rPr>
          <w:b/>
          <w:bCs/>
          <w:sz w:val="28"/>
          <w:szCs w:val="28"/>
          <w:lang w:val="nl-NL"/>
        </w:rPr>
      </w:pPr>
      <w:r w:rsidRPr="00BA7D20">
        <w:rPr>
          <w:b/>
          <w:bCs/>
          <w:sz w:val="28"/>
          <w:szCs w:val="28"/>
          <w:lang w:val="nl-NL"/>
        </w:rPr>
        <w:lastRenderedPageBreak/>
        <w:t xml:space="preserve">Commentaar bij art. </w:t>
      </w:r>
      <w:r w:rsidR="00F46F2D" w:rsidRPr="00BA7D20">
        <w:rPr>
          <w:b/>
          <w:bCs/>
          <w:sz w:val="28"/>
          <w:szCs w:val="28"/>
          <w:lang w:val="nl-NL"/>
        </w:rPr>
        <w:t>121</w:t>
      </w:r>
      <w:r w:rsidR="00906FDB" w:rsidRPr="00BA7D20">
        <w:rPr>
          <w:b/>
          <w:bCs/>
          <w:sz w:val="28"/>
          <w:szCs w:val="28"/>
          <w:lang w:val="nl-NL"/>
        </w:rPr>
        <w:t xml:space="preserve"> oud BW</w:t>
      </w:r>
      <w:r w:rsidR="00EC663E" w:rsidRPr="00BA7D20">
        <w:rPr>
          <w:b/>
          <w:bCs/>
          <w:sz w:val="28"/>
          <w:szCs w:val="28"/>
          <w:lang w:val="nl-NL"/>
        </w:rPr>
        <w:t xml:space="preserve"> – </w:t>
      </w:r>
      <w:r w:rsidR="00C611EB" w:rsidRPr="00BA7D20">
        <w:rPr>
          <w:b/>
          <w:bCs/>
          <w:sz w:val="28"/>
          <w:szCs w:val="28"/>
          <w:lang w:val="nl-NL"/>
        </w:rPr>
        <w:t>Akte van afwezigheid</w:t>
      </w:r>
    </w:p>
    <w:p w14:paraId="156CED82" w14:textId="77777777" w:rsidR="00505058" w:rsidRPr="00BA7D20" w:rsidRDefault="00505058" w:rsidP="00D85703">
      <w:pPr>
        <w:jc w:val="both"/>
        <w:rPr>
          <w:lang w:val="nl-NL"/>
        </w:rPr>
      </w:pPr>
    </w:p>
    <w:p w14:paraId="34CDF89D" w14:textId="1A37CD7B" w:rsidR="00F052DB" w:rsidRPr="00BA7D20" w:rsidRDefault="00505058" w:rsidP="00D63BB4">
      <w:pPr>
        <w:spacing w:after="240"/>
        <w:jc w:val="both"/>
        <w:rPr>
          <w:lang w:val="nl-NL"/>
        </w:rPr>
      </w:pPr>
      <w:r w:rsidRPr="00BA7D20">
        <w:rPr>
          <w:lang w:val="nl-NL"/>
        </w:rPr>
        <w:t xml:space="preserve">Auteur: </w:t>
      </w:r>
      <w:r w:rsidR="00906FDB" w:rsidRPr="00BA7D20">
        <w:rPr>
          <w:lang w:val="nl-NL"/>
        </w:rPr>
        <w:t>Amber JANS</w:t>
      </w:r>
    </w:p>
    <w:p w14:paraId="13A2FD9F" w14:textId="6EE88092" w:rsidR="00D63BB4" w:rsidRPr="00BA7D20" w:rsidRDefault="00505058" w:rsidP="00D63BB4">
      <w:pPr>
        <w:spacing w:after="240"/>
        <w:jc w:val="both"/>
        <w:rPr>
          <w:i/>
          <w:iCs/>
          <w:sz w:val="20"/>
          <w:szCs w:val="20"/>
          <w:lang w:val="nl-NL"/>
        </w:rPr>
      </w:pPr>
      <w:r w:rsidRPr="00BA7D20">
        <w:rPr>
          <w:i/>
          <w:iCs/>
          <w:sz w:val="20"/>
          <w:szCs w:val="20"/>
          <w:lang w:val="nl-NL"/>
        </w:rPr>
        <w:t xml:space="preserve">Bijwerking: </w:t>
      </w:r>
      <w:r w:rsidR="00C9016B" w:rsidRPr="00BA7D20">
        <w:rPr>
          <w:i/>
          <w:iCs/>
          <w:sz w:val="20"/>
          <w:szCs w:val="20"/>
          <w:highlight w:val="yellow"/>
          <w:lang w:val="nl-NL"/>
        </w:rPr>
        <w:t>1</w:t>
      </w:r>
      <w:r w:rsidR="004465B9" w:rsidRPr="00BA7D20">
        <w:rPr>
          <w:i/>
          <w:iCs/>
          <w:sz w:val="20"/>
          <w:szCs w:val="20"/>
          <w:highlight w:val="yellow"/>
          <w:lang w:val="nl-NL"/>
        </w:rPr>
        <w:t xml:space="preserve"> </w:t>
      </w:r>
      <w:r w:rsidR="00C9016B" w:rsidRPr="00BA7D20">
        <w:rPr>
          <w:i/>
          <w:iCs/>
          <w:sz w:val="20"/>
          <w:szCs w:val="20"/>
          <w:highlight w:val="yellow"/>
          <w:lang w:val="nl-NL"/>
        </w:rPr>
        <w:t>mei</w:t>
      </w:r>
      <w:r w:rsidR="004465B9" w:rsidRPr="00BA7D20">
        <w:rPr>
          <w:i/>
          <w:iCs/>
          <w:sz w:val="20"/>
          <w:szCs w:val="20"/>
          <w:highlight w:val="yellow"/>
          <w:lang w:val="nl-NL"/>
        </w:rPr>
        <w:t xml:space="preserve"> 202</w:t>
      </w:r>
      <w:r w:rsidR="00C9016B" w:rsidRPr="00BA7D20">
        <w:rPr>
          <w:i/>
          <w:iCs/>
          <w:sz w:val="20"/>
          <w:szCs w:val="20"/>
          <w:highlight w:val="yellow"/>
          <w:lang w:val="nl-NL"/>
        </w:rPr>
        <w:t>6</w:t>
      </w:r>
    </w:p>
    <w:p w14:paraId="73E1F423" w14:textId="660CC9B4" w:rsidR="00D85703" w:rsidRPr="00BA7D20" w:rsidRDefault="00505058" w:rsidP="00D63BB4">
      <w:pPr>
        <w:spacing w:after="240" w:line="276" w:lineRule="auto"/>
        <w:jc w:val="both"/>
        <w:rPr>
          <w:i/>
          <w:iCs/>
          <w:lang w:val="nl-NL"/>
        </w:rPr>
      </w:pPr>
      <w:r w:rsidRPr="00BA7D20">
        <w:rPr>
          <w:i/>
          <w:iCs/>
          <w:lang w:val="nl-NL"/>
        </w:rPr>
        <w:t>BELANGRIJKSTE RECHTSLEER</w:t>
      </w:r>
    </w:p>
    <w:p w14:paraId="680BDF42" w14:textId="11468866" w:rsidR="001046C5" w:rsidRPr="00BA7D20" w:rsidRDefault="001046C5" w:rsidP="00D63BB4">
      <w:pPr>
        <w:spacing w:after="240" w:line="276" w:lineRule="auto"/>
        <w:jc w:val="both"/>
        <w:rPr>
          <w:lang w:val="nl-NL"/>
        </w:rPr>
      </w:pPr>
      <w:r w:rsidRPr="00BA7D20">
        <w:rPr>
          <w:lang w:val="nl-NL"/>
        </w:rPr>
        <w:t xml:space="preserve">EEMAN R., ‘Afwezigheid en gerechtelijke verklaring van overlijden’, </w:t>
      </w:r>
      <w:r w:rsidRPr="00BA7D20">
        <w:rPr>
          <w:i/>
          <w:iCs/>
          <w:lang w:val="nl-NL"/>
        </w:rPr>
        <w:t xml:space="preserve">Notamus </w:t>
      </w:r>
      <w:r w:rsidRPr="00BA7D20">
        <w:rPr>
          <w:lang w:val="nl-NL"/>
        </w:rPr>
        <w:t>2008/1, 37-42.</w:t>
      </w:r>
    </w:p>
    <w:p w14:paraId="7230A1FE" w14:textId="243DE16D" w:rsidR="000410DE" w:rsidRPr="000410DE" w:rsidRDefault="000410DE" w:rsidP="00D63BB4">
      <w:pPr>
        <w:spacing w:after="240" w:line="276" w:lineRule="auto"/>
        <w:jc w:val="both"/>
        <w:rPr>
          <w:lang w:val="nl-NL"/>
        </w:rPr>
      </w:pPr>
      <w:r>
        <w:rPr>
          <w:lang w:val="nl-NL"/>
        </w:rPr>
        <w:t xml:space="preserve">VERSCHELDEN G., </w:t>
      </w:r>
      <w:r>
        <w:rPr>
          <w:i/>
          <w:iCs/>
          <w:lang w:val="nl-NL"/>
        </w:rPr>
        <w:t>Handboek Belgisch Personen-, familie- en relatievermogensrecht</w:t>
      </w:r>
      <w:r>
        <w:rPr>
          <w:lang w:val="nl-NL"/>
        </w:rPr>
        <w:t>, die Keure, 2025, 933, nr. 1909.</w:t>
      </w:r>
    </w:p>
    <w:p w14:paraId="28CF9721" w14:textId="37F6BC46" w:rsidR="00EC1E52" w:rsidRDefault="00EC1E52" w:rsidP="00D63BB4">
      <w:pPr>
        <w:spacing w:after="240" w:line="276" w:lineRule="auto"/>
        <w:jc w:val="both"/>
        <w:rPr>
          <w:lang w:val="nl-NL"/>
        </w:rPr>
      </w:pPr>
      <w:r w:rsidRPr="00BA7D20">
        <w:rPr>
          <w:lang w:val="nl-NL"/>
        </w:rPr>
        <w:t xml:space="preserve">HEYLEN S., ‘De modernisering en informatisering van de burgerlijke stand’ in BAEL J. (ed.), </w:t>
      </w:r>
      <w:r w:rsidRPr="00BA7D20">
        <w:rPr>
          <w:i/>
          <w:iCs/>
          <w:lang w:val="nl-NL"/>
        </w:rPr>
        <w:t>Rechtskroniek voor het Notariaat</w:t>
      </w:r>
      <w:r w:rsidRPr="00BA7D20">
        <w:rPr>
          <w:lang w:val="nl-NL"/>
        </w:rPr>
        <w:t xml:space="preserve">, </w:t>
      </w:r>
      <w:r w:rsidR="00835F4D" w:rsidRPr="00BA7D20">
        <w:rPr>
          <w:lang w:val="nl-NL"/>
        </w:rPr>
        <w:t>deel</w:t>
      </w:r>
      <w:r w:rsidRPr="00BA7D20">
        <w:rPr>
          <w:lang w:val="nl-NL"/>
        </w:rPr>
        <w:t xml:space="preserve"> 35, Knops</w:t>
      </w:r>
      <w:r w:rsidR="00835F4D" w:rsidRPr="00BA7D20">
        <w:rPr>
          <w:lang w:val="nl-NL"/>
        </w:rPr>
        <w:t xml:space="preserve"> </w:t>
      </w:r>
      <w:r w:rsidRPr="00BA7D20">
        <w:rPr>
          <w:lang w:val="nl-NL"/>
        </w:rPr>
        <w:t>Publishing,</w:t>
      </w:r>
      <w:r w:rsidR="00D63BB4" w:rsidRPr="00BA7D20">
        <w:rPr>
          <w:lang w:val="nl-NL"/>
        </w:rPr>
        <w:t xml:space="preserve"> </w:t>
      </w:r>
      <w:r w:rsidR="00FC0A09">
        <w:rPr>
          <w:lang w:val="nl-NL"/>
        </w:rPr>
        <w:t xml:space="preserve">2019, </w:t>
      </w:r>
      <w:r w:rsidR="00D63BB4" w:rsidRPr="00BA7D20">
        <w:rPr>
          <w:lang w:val="nl-NL"/>
        </w:rPr>
        <w:t>(5)</w:t>
      </w:r>
      <w:r w:rsidRPr="00BA7D20">
        <w:rPr>
          <w:lang w:val="nl-NL"/>
        </w:rPr>
        <w:t xml:space="preserve"> 26.</w:t>
      </w:r>
    </w:p>
    <w:p w14:paraId="484E4048" w14:textId="7137DA0E" w:rsidR="000410DE" w:rsidRPr="000410DE" w:rsidRDefault="000410DE" w:rsidP="00D63BB4">
      <w:pPr>
        <w:spacing w:after="240" w:line="276" w:lineRule="auto"/>
        <w:jc w:val="both"/>
        <w:rPr>
          <w:lang w:val="nl-NL"/>
        </w:rPr>
      </w:pPr>
      <w:bookmarkStart w:id="0" w:name="_Hlk223083419"/>
      <w:r>
        <w:rPr>
          <w:lang w:val="nl-NL"/>
        </w:rPr>
        <w:t xml:space="preserve">HEYLEN S., ‘De modernisering en informatisering van de burgerlijke stand. Commentaar bij de wet van 18 juni 2018 en titel 11 van de wet van 21 december 2018’, </w:t>
      </w:r>
      <w:r>
        <w:rPr>
          <w:i/>
          <w:iCs/>
          <w:lang w:val="nl-NL"/>
        </w:rPr>
        <w:t xml:space="preserve">T.Fam. </w:t>
      </w:r>
      <w:r>
        <w:rPr>
          <w:lang w:val="nl-NL"/>
        </w:rPr>
        <w:t>2019/6, 148-159.</w:t>
      </w:r>
    </w:p>
    <w:bookmarkEnd w:id="0"/>
    <w:p w14:paraId="749054F7" w14:textId="69D2B229" w:rsidR="00297099" w:rsidRPr="00BA7D20" w:rsidRDefault="00D63BB4" w:rsidP="00D63BB4">
      <w:pPr>
        <w:spacing w:after="240" w:line="276" w:lineRule="auto"/>
        <w:jc w:val="both"/>
        <w:rPr>
          <w:lang w:val="nl-NL"/>
        </w:rPr>
      </w:pPr>
      <w:r w:rsidRPr="00BA7D20">
        <w:rPr>
          <w:lang w:val="nl-NL"/>
        </w:rPr>
        <w:t>Zie de rechtsleer opgenomen in de commentaar bij art. 112 oud BW.</w:t>
      </w:r>
    </w:p>
    <w:p w14:paraId="215CC42F" w14:textId="5309BDDD" w:rsidR="00B23EDC" w:rsidRPr="00BA7D20" w:rsidRDefault="00505058" w:rsidP="00D63BB4">
      <w:pPr>
        <w:spacing w:after="240" w:line="276" w:lineRule="auto"/>
        <w:rPr>
          <w:i/>
          <w:iCs/>
          <w:lang w:val="nl-NL"/>
        </w:rPr>
      </w:pPr>
      <w:r w:rsidRPr="00BA7D20">
        <w:rPr>
          <w:i/>
          <w:iCs/>
          <w:lang w:val="nl-NL"/>
        </w:rPr>
        <w:t>BELANGRIJKSTE RECHTSPRAAK</w:t>
      </w:r>
    </w:p>
    <w:p w14:paraId="52A54C76" w14:textId="37C5A180" w:rsidR="00633ECB" w:rsidRPr="00BA7D20" w:rsidRDefault="00B23EDC" w:rsidP="00D63BB4">
      <w:pPr>
        <w:spacing w:after="240" w:line="276" w:lineRule="auto"/>
        <w:rPr>
          <w:lang w:val="nl-NL"/>
        </w:rPr>
      </w:pPr>
      <w:r w:rsidRPr="00BA7D20">
        <w:rPr>
          <w:lang w:val="nl-NL"/>
        </w:rPr>
        <w:t xml:space="preserve">Zie de rechtspraak opgenomen </w:t>
      </w:r>
      <w:r w:rsidR="00D63BB4" w:rsidRPr="00BA7D20">
        <w:rPr>
          <w:lang w:val="nl-NL"/>
        </w:rPr>
        <w:t>in de commentaar bij</w:t>
      </w:r>
      <w:r w:rsidRPr="00BA7D20">
        <w:rPr>
          <w:lang w:val="nl-NL"/>
        </w:rPr>
        <w:t xml:space="preserve"> art. </w:t>
      </w:r>
      <w:r w:rsidR="00D63BB4" w:rsidRPr="00BA7D20">
        <w:rPr>
          <w:lang w:val="nl-NL"/>
        </w:rPr>
        <w:t>112</w:t>
      </w:r>
      <w:r w:rsidRPr="00BA7D20">
        <w:rPr>
          <w:lang w:val="nl-NL"/>
        </w:rPr>
        <w:t xml:space="preserve"> oud BW.</w:t>
      </w:r>
    </w:p>
    <w:p w14:paraId="0F0FA57A" w14:textId="01B70940" w:rsidR="00505058" w:rsidRPr="00BA7D20" w:rsidRDefault="00505058" w:rsidP="00505058">
      <w:pPr>
        <w:rPr>
          <w:i/>
          <w:iCs/>
          <w:lang w:val="nl-NL"/>
        </w:rPr>
      </w:pPr>
      <w:r w:rsidRPr="00BA7D20">
        <w:rPr>
          <w:i/>
          <w:iCs/>
          <w:lang w:val="nl-NL"/>
        </w:rPr>
        <w:t>COMMENTAAR</w:t>
      </w:r>
    </w:p>
    <w:p w14:paraId="0ACFDFF0" w14:textId="77777777" w:rsidR="00297099" w:rsidRPr="00BA7D20" w:rsidRDefault="00297099" w:rsidP="00505058">
      <w:pPr>
        <w:rPr>
          <w:lang w:val="nl-NL"/>
        </w:rPr>
      </w:pPr>
    </w:p>
    <w:p w14:paraId="31B093BC" w14:textId="4326D217" w:rsidR="00756252" w:rsidRPr="00BA7D20" w:rsidRDefault="00505058" w:rsidP="00756252">
      <w:pPr>
        <w:rPr>
          <w:i/>
          <w:iCs/>
          <w:lang w:val="nl-NL"/>
        </w:rPr>
      </w:pPr>
      <w:r w:rsidRPr="00BA7D20">
        <w:rPr>
          <w:i/>
          <w:iCs/>
          <w:lang w:val="nl-NL"/>
        </w:rPr>
        <w:t>Schema</w:t>
      </w:r>
    </w:p>
    <w:p w14:paraId="247A2696" w14:textId="614FE2DA" w:rsidR="006D095B" w:rsidRPr="00BA7D20" w:rsidRDefault="006D095B" w:rsidP="006D095B">
      <w:pPr>
        <w:rPr>
          <w:lang w:val="nl-NL"/>
        </w:rPr>
      </w:pPr>
      <w:r w:rsidRPr="00BA7D20">
        <w:rPr>
          <w:lang w:val="nl-NL"/>
        </w:rPr>
        <w:t xml:space="preserve">I. </w:t>
      </w:r>
      <w:r w:rsidRPr="00BA7D20">
        <w:rPr>
          <w:lang w:val="nl-NL"/>
        </w:rPr>
        <w:tab/>
        <w:t>Inleiding</w:t>
      </w:r>
    </w:p>
    <w:p w14:paraId="50BE9F1C" w14:textId="0FA19110" w:rsidR="006D095B" w:rsidRPr="00BA7D20" w:rsidRDefault="006D095B" w:rsidP="006D095B">
      <w:pPr>
        <w:rPr>
          <w:lang w:val="nl-NL"/>
        </w:rPr>
      </w:pPr>
      <w:r w:rsidRPr="00BA7D20">
        <w:rPr>
          <w:lang w:val="nl-NL"/>
        </w:rPr>
        <w:t>II.</w:t>
      </w:r>
      <w:r w:rsidRPr="00BA7D20">
        <w:rPr>
          <w:lang w:val="nl-NL"/>
        </w:rPr>
        <w:tab/>
      </w:r>
      <w:r w:rsidR="0019240C">
        <w:rPr>
          <w:lang w:val="nl-NL"/>
        </w:rPr>
        <w:t>Vermeldingen in het b</w:t>
      </w:r>
      <w:r w:rsidRPr="00BA7D20">
        <w:rPr>
          <w:lang w:val="nl-NL"/>
        </w:rPr>
        <w:t>eschikkend gedeelte van de beslissing</w:t>
      </w:r>
      <w:r w:rsidR="0019240C">
        <w:rPr>
          <w:lang w:val="nl-NL"/>
        </w:rPr>
        <w:t xml:space="preserve"> houdende verklaring van afwezigheid</w:t>
      </w:r>
    </w:p>
    <w:p w14:paraId="61F0651F" w14:textId="4446DF2A" w:rsidR="006D095B" w:rsidRPr="00BA7D20" w:rsidRDefault="006D095B" w:rsidP="006D095B">
      <w:pPr>
        <w:rPr>
          <w:lang w:val="nl-NL"/>
        </w:rPr>
      </w:pPr>
      <w:r w:rsidRPr="00BA7D20">
        <w:rPr>
          <w:lang w:val="nl-NL"/>
        </w:rPr>
        <w:t>III.</w:t>
      </w:r>
      <w:r w:rsidRPr="00BA7D20">
        <w:rPr>
          <w:lang w:val="nl-NL"/>
        </w:rPr>
        <w:tab/>
        <w:t xml:space="preserve">Overmaking via </w:t>
      </w:r>
      <w:r w:rsidR="00AF0E45">
        <w:rPr>
          <w:lang w:val="nl-NL"/>
        </w:rPr>
        <w:t xml:space="preserve">de </w:t>
      </w:r>
      <w:r w:rsidRPr="00BA7D20">
        <w:rPr>
          <w:lang w:val="nl-NL"/>
        </w:rPr>
        <w:t xml:space="preserve">DABS </w:t>
      </w:r>
      <w:r w:rsidR="00AF0E45">
        <w:rPr>
          <w:lang w:val="nl-NL"/>
        </w:rPr>
        <w:t>van e</w:t>
      </w:r>
      <w:r w:rsidRPr="00BA7D20">
        <w:rPr>
          <w:lang w:val="nl-NL"/>
        </w:rPr>
        <w:t>en</w:t>
      </w:r>
      <w:r w:rsidR="000410DE">
        <w:rPr>
          <w:lang w:val="nl-NL"/>
        </w:rPr>
        <w:t xml:space="preserve"> </w:t>
      </w:r>
      <w:r w:rsidR="00AF0E45">
        <w:rPr>
          <w:lang w:val="nl-NL"/>
        </w:rPr>
        <w:t xml:space="preserve">definitief </w:t>
      </w:r>
      <w:r w:rsidR="000410DE">
        <w:rPr>
          <w:lang w:val="nl-NL"/>
        </w:rPr>
        <w:t>vonnis</w:t>
      </w:r>
      <w:r w:rsidRPr="00BA7D20">
        <w:rPr>
          <w:lang w:val="nl-NL"/>
        </w:rPr>
        <w:t xml:space="preserve"> </w:t>
      </w:r>
    </w:p>
    <w:p w14:paraId="777A4884" w14:textId="7D55D421" w:rsidR="006D095B" w:rsidRPr="00BA7D20" w:rsidRDefault="006D095B" w:rsidP="006D095B">
      <w:pPr>
        <w:rPr>
          <w:lang w:val="nl-NL"/>
        </w:rPr>
      </w:pPr>
      <w:r w:rsidRPr="00BA7D20">
        <w:rPr>
          <w:lang w:val="nl-NL"/>
        </w:rPr>
        <w:t>IV.</w:t>
      </w:r>
      <w:r w:rsidRPr="00BA7D20">
        <w:rPr>
          <w:lang w:val="nl-NL"/>
        </w:rPr>
        <w:tab/>
        <w:t>Akte van afwezigheid</w:t>
      </w:r>
    </w:p>
    <w:p w14:paraId="60B7F4B1" w14:textId="349661C6" w:rsidR="006D095B" w:rsidRPr="00BA7D20" w:rsidRDefault="006D095B" w:rsidP="006D095B">
      <w:pPr>
        <w:pStyle w:val="Lijstalinea"/>
        <w:numPr>
          <w:ilvl w:val="0"/>
          <w:numId w:val="27"/>
        </w:numPr>
        <w:rPr>
          <w:lang w:val="nl-NL"/>
        </w:rPr>
      </w:pPr>
      <w:r w:rsidRPr="00BA7D20">
        <w:rPr>
          <w:lang w:val="nl-NL"/>
        </w:rPr>
        <w:t>Begrip en aard</w:t>
      </w:r>
    </w:p>
    <w:p w14:paraId="0831ABB2" w14:textId="0E4900E7" w:rsidR="006D095B" w:rsidRPr="00BA7D20" w:rsidRDefault="006D095B" w:rsidP="006D095B">
      <w:pPr>
        <w:pStyle w:val="Lijstalinea"/>
        <w:numPr>
          <w:ilvl w:val="0"/>
          <w:numId w:val="27"/>
        </w:numPr>
        <w:rPr>
          <w:lang w:val="nl-NL"/>
        </w:rPr>
      </w:pPr>
      <w:r w:rsidRPr="00BA7D20">
        <w:rPr>
          <w:lang w:val="nl-NL"/>
        </w:rPr>
        <w:t>Bevoegde ambtenaar</w:t>
      </w:r>
    </w:p>
    <w:p w14:paraId="21B4604E" w14:textId="5785F939" w:rsidR="006D095B" w:rsidRPr="00BA7D20" w:rsidRDefault="006D095B" w:rsidP="006D095B">
      <w:pPr>
        <w:pStyle w:val="Lijstalinea"/>
        <w:numPr>
          <w:ilvl w:val="0"/>
          <w:numId w:val="27"/>
        </w:numPr>
        <w:rPr>
          <w:lang w:val="nl-NL"/>
        </w:rPr>
      </w:pPr>
      <w:r w:rsidRPr="00BA7D20">
        <w:rPr>
          <w:lang w:val="nl-NL"/>
        </w:rPr>
        <w:t>Tijdstip van opmaak</w:t>
      </w:r>
    </w:p>
    <w:p w14:paraId="49B6DB1F" w14:textId="5C124B35" w:rsidR="006D095B" w:rsidRPr="00BA7D20" w:rsidRDefault="006D095B" w:rsidP="006D095B">
      <w:pPr>
        <w:rPr>
          <w:lang w:val="nl-NL"/>
        </w:rPr>
      </w:pPr>
      <w:r w:rsidRPr="00BA7D20">
        <w:rPr>
          <w:lang w:val="nl-NL"/>
        </w:rPr>
        <w:t>V.</w:t>
      </w:r>
      <w:r w:rsidRPr="00BA7D20">
        <w:rPr>
          <w:lang w:val="nl-NL"/>
        </w:rPr>
        <w:tab/>
        <w:t>Rechtsgevolgen</w:t>
      </w:r>
    </w:p>
    <w:p w14:paraId="6D9251D3" w14:textId="0639EEB0" w:rsidR="006D095B" w:rsidRPr="00BA7D20" w:rsidRDefault="006D095B" w:rsidP="006D095B">
      <w:pPr>
        <w:rPr>
          <w:lang w:val="nl-NL"/>
        </w:rPr>
      </w:pPr>
      <w:r w:rsidRPr="00BA7D20">
        <w:rPr>
          <w:lang w:val="nl-NL"/>
        </w:rPr>
        <w:t>VI.</w:t>
      </w:r>
      <w:r w:rsidRPr="00BA7D20">
        <w:rPr>
          <w:lang w:val="nl-NL"/>
        </w:rPr>
        <w:tab/>
        <w:t>Samenhang met artikel 122 oud BW</w:t>
      </w:r>
    </w:p>
    <w:p w14:paraId="281E1454" w14:textId="3D382B82" w:rsidR="002E64FF" w:rsidRPr="00BA7D20" w:rsidRDefault="00DA1AF7" w:rsidP="00297099">
      <w:pPr>
        <w:pStyle w:val="Kop1"/>
        <w:rPr>
          <w:lang w:val="nl-NL"/>
        </w:rPr>
      </w:pPr>
      <w:r w:rsidRPr="00BA7D20">
        <w:rPr>
          <w:lang w:val="nl-NL"/>
        </w:rPr>
        <w:t>Inleiding</w:t>
      </w:r>
    </w:p>
    <w:p w14:paraId="1EDC5EFF" w14:textId="2C8940D6" w:rsidR="00921FA3" w:rsidRPr="00BA7D20" w:rsidRDefault="00921FA3" w:rsidP="00921FA3">
      <w:pPr>
        <w:numPr>
          <w:ilvl w:val="0"/>
          <w:numId w:val="11"/>
        </w:numPr>
        <w:spacing w:before="200" w:after="240"/>
        <w:ind w:left="0" w:firstLine="0"/>
        <w:contextualSpacing/>
        <w:jc w:val="both"/>
        <w:rPr>
          <w:rFonts w:cstheme="minorHAnsi"/>
          <w:lang w:val="nl-NL"/>
        </w:rPr>
      </w:pPr>
      <w:r w:rsidRPr="00BA7D20">
        <w:rPr>
          <w:rFonts w:cstheme="minorHAnsi"/>
          <w:lang w:val="nl-NL"/>
        </w:rPr>
        <w:t>Artikel 121 oud BW regelt de gevolgen van de rechterlijke beslissing houdende verklaring van afwezigheid na afloop van de gerechtelijke procedure. De bepaling vormt de schakel tussen enerzijds de uitspraak van de familierechtbank en anderzijds de burgerlijke stand, doordat de bepaling voorschrijft welke gegevens het beschikkend gedeelte moet bevatten, op welke wijze deze gegevens worden overgemaakt via de Databank Akten Burgerlijke Stand (hierna: DABS)</w:t>
      </w:r>
      <w:r w:rsidR="00742F3D" w:rsidRPr="00BA7D20">
        <w:rPr>
          <w:rFonts w:cstheme="minorHAnsi"/>
          <w:lang w:val="nl-NL"/>
        </w:rPr>
        <w:t xml:space="preserve"> aan de bevoegde ambtenaar</w:t>
      </w:r>
      <w:r w:rsidRPr="00BA7D20">
        <w:rPr>
          <w:rFonts w:cstheme="minorHAnsi"/>
          <w:lang w:val="nl-NL"/>
        </w:rPr>
        <w:t xml:space="preserve"> en wanneer de verklaring van afwezigheid de gevolgen van een overlijden doet ontstaan.</w:t>
      </w:r>
    </w:p>
    <w:p w14:paraId="6086A17B" w14:textId="77777777" w:rsidR="00921FA3" w:rsidRPr="00BA7D20" w:rsidRDefault="00921FA3" w:rsidP="00921FA3">
      <w:pPr>
        <w:spacing w:before="200" w:after="240"/>
        <w:contextualSpacing/>
        <w:jc w:val="both"/>
        <w:rPr>
          <w:rFonts w:cstheme="minorHAnsi"/>
          <w:lang w:val="nl-NL"/>
        </w:rPr>
      </w:pPr>
    </w:p>
    <w:p w14:paraId="2E1B8ECF" w14:textId="6AF7D55B" w:rsidR="00835F4D" w:rsidRPr="00BA7D20" w:rsidRDefault="00921FA3" w:rsidP="00835F4D">
      <w:pPr>
        <w:numPr>
          <w:ilvl w:val="0"/>
          <w:numId w:val="11"/>
        </w:numPr>
        <w:spacing w:before="200" w:after="240"/>
        <w:ind w:left="0" w:firstLine="0"/>
        <w:contextualSpacing/>
        <w:jc w:val="both"/>
        <w:rPr>
          <w:rFonts w:cstheme="minorHAnsi"/>
          <w:lang w:val="nl-NL"/>
        </w:rPr>
      </w:pPr>
      <w:r w:rsidRPr="00BA7D20">
        <w:rPr>
          <w:rFonts w:cstheme="minorHAnsi"/>
          <w:lang w:val="nl-NL"/>
        </w:rPr>
        <w:t xml:space="preserve">De bepaling </w:t>
      </w:r>
      <w:r w:rsidR="00CC2884">
        <w:rPr>
          <w:rFonts w:cstheme="minorHAnsi"/>
          <w:lang w:val="nl-NL"/>
        </w:rPr>
        <w:t xml:space="preserve">is laatst substantieel gewijzigd </w:t>
      </w:r>
      <w:r w:rsidRPr="00BA7D20">
        <w:rPr>
          <w:rFonts w:cstheme="minorHAnsi"/>
          <w:lang w:val="nl-NL"/>
        </w:rPr>
        <w:t xml:space="preserve">in </w:t>
      </w:r>
      <w:r w:rsidR="0048233B">
        <w:rPr>
          <w:rFonts w:cstheme="minorHAnsi"/>
          <w:lang w:val="nl-NL"/>
        </w:rPr>
        <w:t xml:space="preserve">het raam van </w:t>
      </w:r>
      <w:r w:rsidRPr="00BA7D20">
        <w:rPr>
          <w:rFonts w:cstheme="minorHAnsi"/>
          <w:lang w:val="nl-NL"/>
        </w:rPr>
        <w:t xml:space="preserve">de hervorming van de burgerlijke stand door de wet van 18 juni 2018, waarbij de vroegere overschrijving van rechterlijke beslissingen in </w:t>
      </w:r>
      <w:r w:rsidRPr="00BA7D20">
        <w:rPr>
          <w:rFonts w:cstheme="minorHAnsi"/>
          <w:lang w:val="nl-NL"/>
        </w:rPr>
        <w:lastRenderedPageBreak/>
        <w:t>de registers werd vervangen door de opmaak van een autonome akte van de burgerlijke stand.</w:t>
      </w:r>
      <w:r w:rsidR="00D63BB4" w:rsidRPr="00BA7D20">
        <w:rPr>
          <w:rStyle w:val="Voetnootmarkering"/>
          <w:rFonts w:cstheme="minorHAnsi"/>
          <w:lang w:val="nl-NL"/>
        </w:rPr>
        <w:footnoteReference w:id="1"/>
      </w:r>
      <w:r w:rsidRPr="00BA7D20">
        <w:rPr>
          <w:rFonts w:cstheme="minorHAnsi"/>
          <w:lang w:val="nl-NL"/>
        </w:rPr>
        <w:t xml:space="preserve"> </w:t>
      </w:r>
      <w:r w:rsidR="00D63BB4" w:rsidRPr="00BA7D20">
        <w:rPr>
          <w:rFonts w:cstheme="minorHAnsi"/>
          <w:lang w:val="nl-NL"/>
        </w:rPr>
        <w:t>De wetgever beoogde hierbij niet enkel informatisering maar ook modernisering en vereenvoudiging van de burgerlijke stand.</w:t>
      </w:r>
      <w:r w:rsidR="00D63BB4" w:rsidRPr="00BA7D20">
        <w:rPr>
          <w:rStyle w:val="Voetnootmarkering"/>
          <w:rFonts w:cstheme="minorHAnsi"/>
          <w:lang w:val="nl-NL"/>
        </w:rPr>
        <w:footnoteReference w:id="2"/>
      </w:r>
      <w:r w:rsidR="00D63BB4" w:rsidRPr="00BA7D20">
        <w:rPr>
          <w:rFonts w:cstheme="minorHAnsi"/>
          <w:lang w:val="nl-NL"/>
        </w:rPr>
        <w:t xml:space="preserve"> </w:t>
      </w:r>
      <w:r w:rsidRPr="00BA7D20">
        <w:rPr>
          <w:rFonts w:cstheme="minorHAnsi"/>
          <w:lang w:val="nl-NL"/>
        </w:rPr>
        <w:t xml:space="preserve">De verklaring van afwezigheid </w:t>
      </w:r>
      <w:r w:rsidR="00742F3D" w:rsidRPr="00BA7D20">
        <w:rPr>
          <w:rFonts w:cstheme="minorHAnsi"/>
          <w:lang w:val="nl-NL"/>
        </w:rPr>
        <w:t xml:space="preserve">gegeven door de familierechtbank overeenkomstig art. </w:t>
      </w:r>
      <w:r w:rsidR="007B461A" w:rsidRPr="00BA7D20">
        <w:rPr>
          <w:rFonts w:cstheme="minorHAnsi"/>
          <w:lang w:val="nl-NL"/>
        </w:rPr>
        <w:t xml:space="preserve">118 oud BW (zie de commentaar bij dit artikel) </w:t>
      </w:r>
      <w:r w:rsidRPr="00BA7D20">
        <w:rPr>
          <w:rFonts w:cstheme="minorHAnsi"/>
          <w:lang w:val="nl-NL"/>
        </w:rPr>
        <w:t xml:space="preserve">leidt dus niet langer rechtstreeks tot </w:t>
      </w:r>
      <w:r w:rsidR="00080285">
        <w:rPr>
          <w:rFonts w:cstheme="minorHAnsi"/>
          <w:lang w:val="nl-NL"/>
        </w:rPr>
        <w:t>overschrijving in de registers van de burgerlijke stand</w:t>
      </w:r>
      <w:r w:rsidRPr="00BA7D20">
        <w:rPr>
          <w:rFonts w:cstheme="minorHAnsi"/>
          <w:lang w:val="nl-NL"/>
        </w:rPr>
        <w:t>, maar tot een afzonderlijke basisakte, zijnde de akte van afwezigheid. Daarmee wordt de juridische fictie van het overlijden door afwezigheid administratief vormgegeven.</w:t>
      </w:r>
    </w:p>
    <w:p w14:paraId="2B53526C" w14:textId="246EEE71" w:rsidR="00921FA3" w:rsidRPr="00BA7D20" w:rsidRDefault="00386382" w:rsidP="00921FA3">
      <w:pPr>
        <w:pStyle w:val="Kop1"/>
        <w:rPr>
          <w:lang w:val="nl-NL"/>
        </w:rPr>
      </w:pPr>
      <w:r>
        <w:rPr>
          <w:lang w:val="nl-NL"/>
        </w:rPr>
        <w:t>Vermeldingen in het</w:t>
      </w:r>
      <w:r w:rsidR="00514DA6">
        <w:rPr>
          <w:lang w:val="nl-NL"/>
        </w:rPr>
        <w:t xml:space="preserve"> b</w:t>
      </w:r>
      <w:r w:rsidR="00921FA3" w:rsidRPr="00BA7D20">
        <w:rPr>
          <w:lang w:val="nl-NL"/>
        </w:rPr>
        <w:t>eschikkend gedeelte van de beslissing</w:t>
      </w:r>
      <w:r w:rsidR="00514DA6">
        <w:rPr>
          <w:lang w:val="nl-NL"/>
        </w:rPr>
        <w:t xml:space="preserve"> houdende verklaring van afwezigheid</w:t>
      </w:r>
    </w:p>
    <w:p w14:paraId="01D58C4D" w14:textId="150ABC8F" w:rsidR="00921FA3" w:rsidRPr="00BA7D20" w:rsidRDefault="00921FA3" w:rsidP="00921FA3">
      <w:pPr>
        <w:numPr>
          <w:ilvl w:val="0"/>
          <w:numId w:val="11"/>
        </w:numPr>
        <w:spacing w:before="200" w:after="240"/>
        <w:ind w:left="0" w:firstLine="0"/>
        <w:contextualSpacing/>
        <w:jc w:val="both"/>
        <w:rPr>
          <w:rFonts w:cstheme="minorHAnsi"/>
          <w:lang w:val="nl-NL"/>
        </w:rPr>
      </w:pPr>
      <w:r w:rsidRPr="00BA7D20">
        <w:rPr>
          <w:rFonts w:cstheme="minorHAnsi"/>
          <w:lang w:val="nl-NL"/>
        </w:rPr>
        <w:t>Het beschikkend gedeelte van de beslissing houdende verklaring van afwezigheid</w:t>
      </w:r>
      <w:r w:rsidR="007B461A" w:rsidRPr="00BA7D20">
        <w:rPr>
          <w:rFonts w:cstheme="minorHAnsi"/>
          <w:lang w:val="nl-NL"/>
        </w:rPr>
        <w:t xml:space="preserve"> (zie art. 118 oud BW)</w:t>
      </w:r>
      <w:r w:rsidRPr="00BA7D20">
        <w:rPr>
          <w:rFonts w:cstheme="minorHAnsi"/>
          <w:lang w:val="nl-NL"/>
        </w:rPr>
        <w:t xml:space="preserve"> moet de gegevens bevatten opgesomd in artikel 56 oud BW. Door deze verwijzing sluit de wetgever inhoudelijk aan bij de vermeldingen van een overlijdensakte, wat de gelijkenissen tussen afwezigheid en overlijden bevestigt</w:t>
      </w:r>
      <w:r w:rsidR="0023363F" w:rsidRPr="00BA7D20">
        <w:rPr>
          <w:rFonts w:cstheme="minorHAnsi"/>
          <w:lang w:val="nl-NL"/>
        </w:rPr>
        <w:t xml:space="preserve"> (zie art. 55 oud BW)</w:t>
      </w:r>
      <w:r w:rsidRPr="00BA7D20">
        <w:rPr>
          <w:rFonts w:cstheme="minorHAnsi"/>
          <w:lang w:val="nl-NL"/>
        </w:rPr>
        <w:t xml:space="preserve">. De rechter dient in het bijzonder de </w:t>
      </w:r>
      <w:r w:rsidRPr="00080285">
        <w:rPr>
          <w:rFonts w:cstheme="minorHAnsi"/>
          <w:i/>
          <w:iCs/>
          <w:lang w:val="nl-NL"/>
        </w:rPr>
        <w:t>naam, voornamen, geboortedatum en geboorteplaats van de afwezige</w:t>
      </w:r>
      <w:r w:rsidRPr="00BA7D20">
        <w:rPr>
          <w:rFonts w:cstheme="minorHAnsi"/>
          <w:lang w:val="nl-NL"/>
        </w:rPr>
        <w:t xml:space="preserve"> te vermelden, evenals </w:t>
      </w:r>
      <w:r w:rsidR="006D095B" w:rsidRPr="00BA7D20">
        <w:rPr>
          <w:rFonts w:cstheme="minorHAnsi"/>
          <w:lang w:val="nl-NL"/>
        </w:rPr>
        <w:t>en</w:t>
      </w:r>
      <w:r w:rsidRPr="00BA7D20">
        <w:rPr>
          <w:rFonts w:cstheme="minorHAnsi"/>
          <w:lang w:val="nl-NL"/>
        </w:rPr>
        <w:t xml:space="preserve"> voor zover mogelijk </w:t>
      </w:r>
      <w:r w:rsidR="006D095B" w:rsidRPr="00BA7D20">
        <w:rPr>
          <w:rFonts w:cstheme="minorHAnsi"/>
          <w:lang w:val="nl-NL"/>
        </w:rPr>
        <w:t xml:space="preserve">de </w:t>
      </w:r>
      <w:r w:rsidRPr="00BA7D20">
        <w:rPr>
          <w:rFonts w:cstheme="minorHAnsi"/>
          <w:lang w:val="nl-NL"/>
        </w:rPr>
        <w:t xml:space="preserve">gegevens omtrent </w:t>
      </w:r>
      <w:r w:rsidRPr="00080285">
        <w:rPr>
          <w:rFonts w:cstheme="minorHAnsi"/>
          <w:i/>
          <w:iCs/>
          <w:lang w:val="nl-NL"/>
        </w:rPr>
        <w:t>plaats, datum en uur van overlijden of vaststelling daarvan</w:t>
      </w:r>
      <w:r w:rsidRPr="00BA7D20">
        <w:rPr>
          <w:rFonts w:cstheme="minorHAnsi"/>
          <w:lang w:val="nl-NL"/>
        </w:rPr>
        <w:t>.</w:t>
      </w:r>
      <w:r w:rsidR="0023363F" w:rsidRPr="00BA7D20">
        <w:rPr>
          <w:rFonts w:cstheme="minorHAnsi"/>
          <w:lang w:val="nl-NL"/>
        </w:rPr>
        <w:t xml:space="preserve"> Dit zijn tevens de vermeldingen op de akte van overlijden.</w:t>
      </w:r>
    </w:p>
    <w:p w14:paraId="1A939059" w14:textId="77777777" w:rsidR="00921FA3" w:rsidRPr="00BA7D20" w:rsidRDefault="00921FA3" w:rsidP="00921FA3">
      <w:pPr>
        <w:spacing w:before="200" w:after="240"/>
        <w:contextualSpacing/>
        <w:jc w:val="both"/>
        <w:rPr>
          <w:rFonts w:cstheme="minorHAnsi"/>
          <w:lang w:val="nl-NL"/>
        </w:rPr>
      </w:pPr>
    </w:p>
    <w:p w14:paraId="5E1CA978" w14:textId="768008F4" w:rsidR="00921FA3" w:rsidRPr="00BA7D20" w:rsidRDefault="00921FA3" w:rsidP="00921FA3">
      <w:pPr>
        <w:numPr>
          <w:ilvl w:val="0"/>
          <w:numId w:val="11"/>
        </w:numPr>
        <w:spacing w:before="200" w:after="240"/>
        <w:ind w:left="0" w:firstLine="0"/>
        <w:contextualSpacing/>
        <w:jc w:val="both"/>
        <w:rPr>
          <w:rFonts w:cstheme="minorHAnsi"/>
          <w:lang w:val="nl-NL"/>
        </w:rPr>
      </w:pPr>
      <w:r w:rsidRPr="00BA7D20">
        <w:rPr>
          <w:lang w:val="nl-NL"/>
        </w:rPr>
        <w:t xml:space="preserve">Aangezien de verklaring van afwezigheid betrekking heeft op een persoon van wie het overlijden niet met zekerheid vaststaat, zal het tweede type gegevens </w:t>
      </w:r>
      <w:r w:rsidR="0023363F" w:rsidRPr="00BA7D20">
        <w:rPr>
          <w:lang w:val="nl-NL"/>
        </w:rPr>
        <w:t>uit art</w:t>
      </w:r>
      <w:r w:rsidR="00CA441E">
        <w:rPr>
          <w:lang w:val="nl-NL"/>
        </w:rPr>
        <w:t>ikel</w:t>
      </w:r>
      <w:r w:rsidR="0023363F" w:rsidRPr="00BA7D20">
        <w:rPr>
          <w:lang w:val="nl-NL"/>
        </w:rPr>
        <w:t xml:space="preserve"> 56, 2° oud BW </w:t>
      </w:r>
      <w:r w:rsidRPr="00BA7D20">
        <w:rPr>
          <w:lang w:val="nl-NL"/>
        </w:rPr>
        <w:t xml:space="preserve">in de praktijk wellicht vaak ontbreken. De wet </w:t>
      </w:r>
      <w:r w:rsidR="004B6401">
        <w:rPr>
          <w:lang w:val="nl-NL"/>
        </w:rPr>
        <w:t>bepaalt</w:t>
      </w:r>
      <w:r w:rsidR="004B6401" w:rsidRPr="00BA7D20">
        <w:rPr>
          <w:lang w:val="nl-NL"/>
        </w:rPr>
        <w:t xml:space="preserve"> </w:t>
      </w:r>
      <w:r w:rsidRPr="00BA7D20">
        <w:rPr>
          <w:lang w:val="nl-NL"/>
        </w:rPr>
        <w:t>daarom uitdrukkelijk dat het beschikkend gedeelte, in voorkomend geval, de onmogelijkheid kan vaststellen om bepaalde vermeldingen op te nemen</w:t>
      </w:r>
      <w:r w:rsidR="0023363F" w:rsidRPr="00BA7D20">
        <w:rPr>
          <w:lang w:val="nl-NL"/>
        </w:rPr>
        <w:t xml:space="preserve"> (art. 121, § 1, eerste lid </w:t>
      </w:r>
      <w:r w:rsidR="0023363F" w:rsidRPr="00BA7D20">
        <w:rPr>
          <w:i/>
          <w:iCs/>
          <w:lang w:val="nl-NL"/>
        </w:rPr>
        <w:t xml:space="preserve">in fine </w:t>
      </w:r>
      <w:r w:rsidR="0023363F" w:rsidRPr="00BA7D20">
        <w:rPr>
          <w:lang w:val="nl-NL"/>
        </w:rPr>
        <w:t>oud BW)</w:t>
      </w:r>
      <w:r w:rsidRPr="00BA7D20">
        <w:rPr>
          <w:lang w:val="nl-NL"/>
        </w:rPr>
        <w:t>. Het ontbreken van deze gegevens vormt dus geen onregelmatigheid, maar een wettelijk voorzien gevolg van de bijzondere aard van de afwezigheidsprocedure.</w:t>
      </w:r>
    </w:p>
    <w:p w14:paraId="0F8F7966" w14:textId="28E46178" w:rsidR="00921FA3" w:rsidRPr="00BA7D20" w:rsidRDefault="00921FA3" w:rsidP="00921FA3">
      <w:pPr>
        <w:pStyle w:val="Kop1"/>
        <w:rPr>
          <w:lang w:val="nl-NL"/>
        </w:rPr>
      </w:pPr>
      <w:r w:rsidRPr="00BA7D20">
        <w:rPr>
          <w:lang w:val="nl-NL"/>
        </w:rPr>
        <w:t xml:space="preserve">Overmaking via DABS </w:t>
      </w:r>
      <w:r w:rsidR="00AF0E45">
        <w:rPr>
          <w:lang w:val="nl-NL"/>
        </w:rPr>
        <w:t>van e</w:t>
      </w:r>
      <w:r w:rsidRPr="00BA7D20">
        <w:rPr>
          <w:lang w:val="nl-NL"/>
        </w:rPr>
        <w:t>en</w:t>
      </w:r>
      <w:r w:rsidR="000410DE">
        <w:rPr>
          <w:lang w:val="nl-NL"/>
        </w:rPr>
        <w:t xml:space="preserve"> </w:t>
      </w:r>
      <w:r w:rsidR="00AF0E45">
        <w:rPr>
          <w:lang w:val="nl-NL"/>
        </w:rPr>
        <w:t xml:space="preserve">definitief </w:t>
      </w:r>
      <w:r w:rsidR="000410DE">
        <w:rPr>
          <w:lang w:val="nl-NL"/>
        </w:rPr>
        <w:t>vonnis</w:t>
      </w:r>
      <w:r w:rsidRPr="00BA7D20">
        <w:rPr>
          <w:lang w:val="nl-NL"/>
        </w:rPr>
        <w:t xml:space="preserve"> </w:t>
      </w:r>
    </w:p>
    <w:p w14:paraId="27536626" w14:textId="5C7BF090" w:rsidR="0023363F" w:rsidRPr="00BA7D20" w:rsidRDefault="00921FA3" w:rsidP="00921FA3">
      <w:pPr>
        <w:numPr>
          <w:ilvl w:val="0"/>
          <w:numId w:val="11"/>
        </w:numPr>
        <w:spacing w:before="200" w:after="240"/>
        <w:ind w:left="0" w:firstLine="0"/>
        <w:contextualSpacing/>
        <w:jc w:val="both"/>
        <w:rPr>
          <w:lang w:val="nl-NL"/>
        </w:rPr>
      </w:pPr>
      <w:r w:rsidRPr="00BA7D20">
        <w:rPr>
          <w:lang w:val="nl-NL"/>
        </w:rPr>
        <w:t>Van zodra de beslissing in kracht van gewijsde is getreden, stuurt de griffier op verzoek van de procureur des Konings de gegevens die nodig zijn voor de opmaak van de akte van afwezigheid via de DABS naar de bevoegde ambtenaar van de burgerlijke stand</w:t>
      </w:r>
      <w:r w:rsidR="00D63BB4" w:rsidRPr="00BA7D20">
        <w:rPr>
          <w:lang w:val="nl-NL"/>
        </w:rPr>
        <w:t>.</w:t>
      </w:r>
      <w:r w:rsidR="00D63BB4" w:rsidRPr="00BA7D20">
        <w:rPr>
          <w:rStyle w:val="Voetnootmarkering"/>
          <w:lang w:val="nl-NL"/>
        </w:rPr>
        <w:footnoteReference w:id="3"/>
      </w:r>
      <w:r w:rsidRPr="00BA7D20">
        <w:rPr>
          <w:lang w:val="nl-NL"/>
        </w:rPr>
        <w:t xml:space="preserve"> De beslissing verkrijgt gezag van gewijsde wanneer geen gewone rechtsmiddelen meer openstaan, zodat zij onherroepelijk en definitief wordt</w:t>
      </w:r>
      <w:r w:rsidR="000410DE">
        <w:rPr>
          <w:lang w:val="nl-NL"/>
        </w:rPr>
        <w:t xml:space="preserve">, </w:t>
      </w:r>
      <w:r w:rsidR="008035CE">
        <w:rPr>
          <w:lang w:val="nl-NL"/>
        </w:rPr>
        <w:t xml:space="preserve">overeenkomstig </w:t>
      </w:r>
      <w:r w:rsidR="000410DE">
        <w:rPr>
          <w:lang w:val="nl-NL"/>
        </w:rPr>
        <w:t>het gemeen recht (art. 28 Ger.W.)</w:t>
      </w:r>
      <w:r w:rsidRPr="00BA7D20">
        <w:rPr>
          <w:lang w:val="nl-NL"/>
        </w:rPr>
        <w:t>.</w:t>
      </w:r>
    </w:p>
    <w:p w14:paraId="32AFA634" w14:textId="77777777" w:rsidR="0023363F" w:rsidRPr="00BA7D20" w:rsidRDefault="0023363F" w:rsidP="0023363F">
      <w:pPr>
        <w:spacing w:before="200" w:after="240"/>
        <w:contextualSpacing/>
        <w:jc w:val="both"/>
        <w:rPr>
          <w:lang w:val="nl-NL"/>
        </w:rPr>
      </w:pPr>
    </w:p>
    <w:p w14:paraId="4E831923" w14:textId="4405EF07" w:rsidR="00921FA3" w:rsidRPr="00BA7D20" w:rsidRDefault="00921FA3" w:rsidP="0023363F">
      <w:pPr>
        <w:spacing w:before="200" w:after="240"/>
        <w:contextualSpacing/>
        <w:jc w:val="both"/>
        <w:rPr>
          <w:lang w:val="nl-NL"/>
        </w:rPr>
      </w:pPr>
      <w:r w:rsidRPr="00BA7D20">
        <w:rPr>
          <w:lang w:val="nl-NL"/>
        </w:rPr>
        <w:t>De</w:t>
      </w:r>
      <w:r w:rsidR="0023363F" w:rsidRPr="00BA7D20">
        <w:rPr>
          <w:lang w:val="nl-NL"/>
        </w:rPr>
        <w:t>ze</w:t>
      </w:r>
      <w:r w:rsidRPr="00BA7D20">
        <w:rPr>
          <w:lang w:val="nl-NL"/>
        </w:rPr>
        <w:t xml:space="preserve"> digitale transmissie via de DABS sluit aan bij de modernisering van de burgerlijke stand. De elektronische akten via de DABS zijn authentieke akten die elektronisch worden ondertekend en bewaard.</w:t>
      </w:r>
      <w:r w:rsidRPr="00BA7D20">
        <w:rPr>
          <w:rStyle w:val="Voetnootmarkering"/>
          <w:lang w:val="nl-NL"/>
        </w:rPr>
        <w:footnoteReference w:id="4"/>
      </w:r>
      <w:r w:rsidRPr="00BA7D20">
        <w:rPr>
          <w:lang w:val="nl-NL"/>
        </w:rPr>
        <w:t xml:space="preserve"> Het gebruik van de DABS waarborgt een uniforme en snelle communicatie tussen de </w:t>
      </w:r>
      <w:r w:rsidRPr="00BA7D20">
        <w:rPr>
          <w:lang w:val="nl-NL"/>
        </w:rPr>
        <w:lastRenderedPageBreak/>
        <w:t>rechterlijke macht en de burgerlijke stand en vervangt de vroegere praktijk van overschrijving in papieren registers.</w:t>
      </w:r>
      <w:r w:rsidRPr="00BA7D20">
        <w:rPr>
          <w:rStyle w:val="Voetnootmarkering"/>
          <w:lang w:val="nl-NL"/>
        </w:rPr>
        <w:footnoteReference w:id="5"/>
      </w:r>
    </w:p>
    <w:p w14:paraId="400D550F" w14:textId="18EF5D2A" w:rsidR="00E213E5" w:rsidRPr="00BA7D20" w:rsidRDefault="006B3B0B" w:rsidP="00C611EB">
      <w:pPr>
        <w:pStyle w:val="Kop1"/>
        <w:rPr>
          <w:lang w:val="nl-NL"/>
        </w:rPr>
      </w:pPr>
      <w:r>
        <w:rPr>
          <w:lang w:val="nl-NL"/>
        </w:rPr>
        <w:t xml:space="preserve"> </w:t>
      </w:r>
      <w:r w:rsidR="00E213E5" w:rsidRPr="00BA7D20">
        <w:rPr>
          <w:lang w:val="nl-NL"/>
        </w:rPr>
        <w:t>Akte van afwezigheid</w:t>
      </w:r>
    </w:p>
    <w:p w14:paraId="6404FAC2" w14:textId="709294D1" w:rsidR="00C611EB" w:rsidRPr="00BA7D20" w:rsidRDefault="00921FA3" w:rsidP="00E213E5">
      <w:pPr>
        <w:pStyle w:val="Kop2"/>
        <w:numPr>
          <w:ilvl w:val="0"/>
          <w:numId w:val="23"/>
        </w:numPr>
        <w:rPr>
          <w:lang w:val="nl-NL"/>
        </w:rPr>
      </w:pPr>
      <w:r w:rsidRPr="00BA7D20">
        <w:rPr>
          <w:lang w:val="nl-NL"/>
        </w:rPr>
        <w:t>Begrip en aard</w:t>
      </w:r>
    </w:p>
    <w:p w14:paraId="7D3C5084" w14:textId="39F2BF46" w:rsidR="00921FA3" w:rsidRPr="000410DE" w:rsidRDefault="00921FA3" w:rsidP="000410DE">
      <w:pPr>
        <w:numPr>
          <w:ilvl w:val="0"/>
          <w:numId w:val="11"/>
        </w:numPr>
        <w:spacing w:before="200" w:after="240"/>
        <w:ind w:left="0" w:firstLine="0"/>
        <w:contextualSpacing/>
        <w:jc w:val="both"/>
        <w:rPr>
          <w:lang w:val="nl-NL"/>
        </w:rPr>
      </w:pPr>
      <w:r w:rsidRPr="00BA7D20">
        <w:rPr>
          <w:lang w:val="nl-NL"/>
        </w:rPr>
        <w:t>De akte van afwezigheid is een basisakte van de burgerlijke stand die wordt opgesteld op grond van de rechterlijke beslissing tot verklaring van afwezigheid</w:t>
      </w:r>
      <w:r w:rsidR="0023363F" w:rsidRPr="00BA7D20">
        <w:rPr>
          <w:lang w:val="nl-NL"/>
        </w:rPr>
        <w:t xml:space="preserve"> door de familierechtbank (art. 118 oud BW)</w:t>
      </w:r>
      <w:r w:rsidRPr="00BA7D20">
        <w:rPr>
          <w:lang w:val="nl-NL"/>
        </w:rPr>
        <w:t xml:space="preserve">. </w:t>
      </w:r>
      <w:r w:rsidR="000410DE">
        <w:rPr>
          <w:lang w:val="nl-NL"/>
        </w:rPr>
        <w:t xml:space="preserve">Hoewel geen overlijden in feitelijke zin is vastgesteld, </w:t>
      </w:r>
      <w:r w:rsidR="00A22199">
        <w:rPr>
          <w:lang w:val="nl-NL"/>
        </w:rPr>
        <w:t xml:space="preserve">stelt </w:t>
      </w:r>
      <w:r w:rsidR="000410DE">
        <w:rPr>
          <w:lang w:val="nl-NL"/>
        </w:rPr>
        <w:t xml:space="preserve">de wet de verklaring van afwezigheid gelijk met </w:t>
      </w:r>
      <w:r w:rsidR="00A22199">
        <w:rPr>
          <w:lang w:val="nl-NL"/>
        </w:rPr>
        <w:t xml:space="preserve">een </w:t>
      </w:r>
      <w:r w:rsidR="000410DE">
        <w:rPr>
          <w:lang w:val="nl-NL"/>
        </w:rPr>
        <w:t xml:space="preserve">overlijden, waardoor dezelfde rechtsgevolgen intreden. </w:t>
      </w:r>
      <w:r w:rsidRPr="000410DE">
        <w:rPr>
          <w:lang w:val="nl-NL"/>
        </w:rPr>
        <w:t>De akte vermeldt minstens de identificatiegegevens van de afwezige en verwijst naar de gerechtelijke beslissing waarop zij steunt.</w:t>
      </w:r>
      <w:r w:rsidRPr="00BA7D20">
        <w:rPr>
          <w:rStyle w:val="Voetnootmarkering"/>
          <w:lang w:val="nl-NL"/>
        </w:rPr>
        <w:footnoteReference w:id="6"/>
      </w:r>
    </w:p>
    <w:p w14:paraId="5CCEC274" w14:textId="77777777" w:rsidR="00921FA3" w:rsidRPr="00BA7D20" w:rsidRDefault="00921FA3" w:rsidP="00921FA3">
      <w:pPr>
        <w:spacing w:before="200" w:after="240"/>
        <w:contextualSpacing/>
        <w:jc w:val="both"/>
        <w:rPr>
          <w:lang w:val="nl-NL"/>
        </w:rPr>
      </w:pPr>
    </w:p>
    <w:p w14:paraId="6FD59E7D" w14:textId="1DDDC753" w:rsidR="00E213E5" w:rsidRPr="00BA7D20" w:rsidRDefault="0023363F" w:rsidP="00D63BB4">
      <w:pPr>
        <w:numPr>
          <w:ilvl w:val="0"/>
          <w:numId w:val="11"/>
        </w:numPr>
        <w:spacing w:before="200" w:after="240"/>
        <w:ind w:left="0" w:firstLine="0"/>
        <w:contextualSpacing/>
        <w:jc w:val="both"/>
        <w:rPr>
          <w:lang w:val="nl-NL"/>
        </w:rPr>
      </w:pPr>
      <w:r w:rsidRPr="00BA7D20">
        <w:rPr>
          <w:lang w:val="nl-NL"/>
        </w:rPr>
        <w:t>Door</w:t>
      </w:r>
      <w:r w:rsidR="00921FA3" w:rsidRPr="00BA7D20">
        <w:rPr>
          <w:lang w:val="nl-NL"/>
        </w:rPr>
        <w:t xml:space="preserve"> de hervorming middels de wet van 18 juni 2018</w:t>
      </w:r>
      <w:r w:rsidR="00921FA3" w:rsidRPr="00BA7D20">
        <w:rPr>
          <w:rStyle w:val="Voetnootmarkering"/>
          <w:lang w:val="nl-NL"/>
        </w:rPr>
        <w:footnoteReference w:id="7"/>
      </w:r>
      <w:r w:rsidR="00921FA3" w:rsidRPr="00BA7D20">
        <w:rPr>
          <w:lang w:val="nl-NL"/>
        </w:rPr>
        <w:t xml:space="preserve"> (inwerkingtreding 31 maart 2019) geldt niet langer dat de rechterlijke beslissing zelf als akte van de burgerlijke stand fungeert. In plaats daarvan wordt een afzonderlijke akte opgesteld, wat onder meer toelaat dat deze akte later kan worden verbeterd of aangepast indien de afwezige terugkeert of indien zijn bestaan wordt bewezen (zie de commentaar bij art. 122 oud BW).</w:t>
      </w:r>
    </w:p>
    <w:p w14:paraId="10E93FED" w14:textId="5E6E582B" w:rsidR="00E213E5" w:rsidRPr="00BA7D20" w:rsidRDefault="00921FA3" w:rsidP="00E213E5">
      <w:pPr>
        <w:pStyle w:val="Kop2"/>
        <w:rPr>
          <w:lang w:val="nl-NL"/>
        </w:rPr>
      </w:pPr>
      <w:r w:rsidRPr="00BA7D20">
        <w:rPr>
          <w:lang w:val="nl-NL"/>
        </w:rPr>
        <w:t>Bevoegde ambtenaar</w:t>
      </w:r>
    </w:p>
    <w:p w14:paraId="013CA9DC" w14:textId="082DFFC0" w:rsidR="00921FA3" w:rsidRPr="00BA7D20" w:rsidRDefault="00921FA3" w:rsidP="00921FA3">
      <w:pPr>
        <w:numPr>
          <w:ilvl w:val="0"/>
          <w:numId w:val="11"/>
        </w:numPr>
        <w:spacing w:before="200" w:after="240"/>
        <w:ind w:left="0" w:firstLine="0"/>
        <w:contextualSpacing/>
        <w:jc w:val="both"/>
        <w:rPr>
          <w:lang w:val="nl-NL"/>
        </w:rPr>
      </w:pPr>
      <w:r w:rsidRPr="00BA7D20">
        <w:rPr>
          <w:lang w:val="nl-NL"/>
        </w:rPr>
        <w:t>De akte wordt opgesteld door de ambtenaar van de burgerlijke stand van de laatste plaats van inschrijving van de afwezige in het bevolkings-, vreemdelingen- of wachtregister in België.</w:t>
      </w:r>
      <w:r w:rsidRPr="00BA7D20">
        <w:rPr>
          <w:rStyle w:val="Voetnootmarkering"/>
          <w:lang w:val="nl-NL"/>
        </w:rPr>
        <w:footnoteReference w:id="8"/>
      </w:r>
      <w:r w:rsidRPr="00BA7D20">
        <w:rPr>
          <w:lang w:val="nl-NL"/>
        </w:rPr>
        <w:t xml:space="preserve"> Bij gebrek aan een dergelijke inschrijving is de ambtenaar van de burgerlijke stand van Brussel bevoegd. Deze aanknoping is administratief van aard en strekt ertoe een duidelijke territoriale bevoegdheid vast te leggen.</w:t>
      </w:r>
    </w:p>
    <w:p w14:paraId="17BD8A49" w14:textId="77777777" w:rsidR="00921FA3" w:rsidRPr="00BA7D20" w:rsidRDefault="00921FA3" w:rsidP="00921FA3">
      <w:pPr>
        <w:spacing w:before="200" w:after="240"/>
        <w:contextualSpacing/>
        <w:jc w:val="both"/>
        <w:rPr>
          <w:lang w:val="nl-NL"/>
        </w:rPr>
      </w:pPr>
    </w:p>
    <w:p w14:paraId="0DD07A0D" w14:textId="1D34277D" w:rsidR="00C611EB" w:rsidRPr="00BA7D20" w:rsidRDefault="00921FA3" w:rsidP="00835F4D">
      <w:pPr>
        <w:numPr>
          <w:ilvl w:val="0"/>
          <w:numId w:val="11"/>
        </w:numPr>
        <w:spacing w:before="200" w:after="240"/>
        <w:ind w:left="0" w:firstLine="0"/>
        <w:contextualSpacing/>
        <w:jc w:val="both"/>
        <w:rPr>
          <w:lang w:val="nl-NL"/>
        </w:rPr>
      </w:pPr>
      <w:r w:rsidRPr="00BA7D20">
        <w:rPr>
          <w:lang w:val="nl-NL"/>
        </w:rPr>
        <w:t>Onder ‘laatste plaats van inschrijving’ wordt de laatste ‘werkelijke’ inschrijving verstaan. Het rijksregister kan immers een specifieke adrescode bevatten voor vermiste personen, nog v</w:t>
      </w:r>
      <w:r w:rsidR="00777B80">
        <w:rPr>
          <w:lang w:val="nl-NL"/>
        </w:rPr>
        <w:t>óó</w:t>
      </w:r>
      <w:r w:rsidRPr="00BA7D20">
        <w:rPr>
          <w:lang w:val="nl-NL"/>
        </w:rPr>
        <w:t xml:space="preserve">r de </w:t>
      </w:r>
      <w:r w:rsidR="00E8039C">
        <w:rPr>
          <w:lang w:val="nl-NL"/>
        </w:rPr>
        <w:t xml:space="preserve">verklaring van </w:t>
      </w:r>
      <w:r w:rsidR="00E8039C" w:rsidRPr="00BA7D20">
        <w:rPr>
          <w:lang w:val="nl-NL"/>
        </w:rPr>
        <w:t>afwezig</w:t>
      </w:r>
      <w:r w:rsidR="00E8039C">
        <w:rPr>
          <w:lang w:val="nl-NL"/>
        </w:rPr>
        <w:t>heid</w:t>
      </w:r>
      <w:r w:rsidRPr="00BA7D20">
        <w:rPr>
          <w:lang w:val="nl-NL"/>
        </w:rPr>
        <w:t>. Een louter administratieve wijziging van adres naar aanleiding van een verhuis van familieleden wijzigt de bevoegdheid niet indien het niet om een werkelijke inschrijving gaat.</w:t>
      </w:r>
      <w:r w:rsidRPr="00BA7D20">
        <w:rPr>
          <w:rStyle w:val="Voetnootmarkering"/>
          <w:lang w:val="nl-NL"/>
        </w:rPr>
        <w:footnoteReference w:id="9"/>
      </w:r>
    </w:p>
    <w:p w14:paraId="1C052BB5" w14:textId="2BA3C0BE" w:rsidR="00E213E5" w:rsidRPr="00BA7D20" w:rsidRDefault="00921FA3" w:rsidP="00E213E5">
      <w:pPr>
        <w:pStyle w:val="Kop2"/>
        <w:rPr>
          <w:lang w:val="nl-NL"/>
        </w:rPr>
      </w:pPr>
      <w:r w:rsidRPr="00BA7D20">
        <w:rPr>
          <w:lang w:val="nl-NL"/>
        </w:rPr>
        <w:t>Tijdstip van opmaak</w:t>
      </w:r>
    </w:p>
    <w:p w14:paraId="6BBF2433" w14:textId="3F4654D4" w:rsidR="00C611EB" w:rsidRPr="00BA7D20" w:rsidRDefault="00921FA3" w:rsidP="001046C5">
      <w:pPr>
        <w:numPr>
          <w:ilvl w:val="0"/>
          <w:numId w:val="11"/>
        </w:numPr>
        <w:spacing w:before="200" w:after="240"/>
        <w:ind w:left="0" w:firstLine="0"/>
        <w:contextualSpacing/>
        <w:jc w:val="both"/>
        <w:rPr>
          <w:lang w:val="nl-NL"/>
        </w:rPr>
      </w:pPr>
      <w:r w:rsidRPr="00BA7D20">
        <w:rPr>
          <w:lang w:val="nl-NL"/>
        </w:rPr>
        <w:t xml:space="preserve">De bevoegde ambtenaar maakt de akte </w:t>
      </w:r>
      <w:r w:rsidRPr="00BA7D20">
        <w:rPr>
          <w:i/>
          <w:iCs/>
          <w:lang w:val="nl-NL"/>
        </w:rPr>
        <w:t>onmiddellijk</w:t>
      </w:r>
      <w:r w:rsidRPr="00BA7D20">
        <w:rPr>
          <w:lang w:val="nl-NL"/>
        </w:rPr>
        <w:t xml:space="preserve"> op na ontvangst van de gegevens via de DABS. Het vereiste van onmiddellijke opmaak is essentieel, aangezien artikel 121, § 2 oud BW de rechtsgevolgen van de verklaring van afwezigheid koppelt aan de datum van opmaak van de akte. De snelheid van de administratieve verwerking heeft dus rechtstreeks invloed op het tijdstip waarop de juridische gevolgen van het overlijden intreden.</w:t>
      </w:r>
    </w:p>
    <w:p w14:paraId="03623FCB" w14:textId="57408D4A" w:rsidR="00D46E74" w:rsidRPr="00BA7D20" w:rsidRDefault="00921FA3" w:rsidP="00921FA3">
      <w:pPr>
        <w:pStyle w:val="Kop1"/>
        <w:rPr>
          <w:lang w:val="nl-NL"/>
        </w:rPr>
      </w:pPr>
      <w:r w:rsidRPr="00BA7D20">
        <w:rPr>
          <w:lang w:val="nl-NL"/>
        </w:rPr>
        <w:lastRenderedPageBreak/>
        <w:t>Rechtsg</w:t>
      </w:r>
      <w:r w:rsidR="001046C5" w:rsidRPr="00BA7D20">
        <w:rPr>
          <w:lang w:val="nl-NL"/>
        </w:rPr>
        <w:t>evolgen</w:t>
      </w:r>
    </w:p>
    <w:p w14:paraId="54EFCCBC" w14:textId="560D1CAF" w:rsidR="00921FA3" w:rsidRPr="00BA7D20" w:rsidRDefault="00921FA3" w:rsidP="00921FA3">
      <w:pPr>
        <w:numPr>
          <w:ilvl w:val="0"/>
          <w:numId w:val="11"/>
        </w:numPr>
        <w:spacing w:before="200" w:after="240"/>
        <w:ind w:left="0" w:firstLine="0"/>
        <w:contextualSpacing/>
        <w:jc w:val="both"/>
        <w:rPr>
          <w:lang w:val="nl-NL"/>
        </w:rPr>
      </w:pPr>
      <w:r w:rsidRPr="00BA7D20">
        <w:rPr>
          <w:lang w:val="nl-NL"/>
        </w:rPr>
        <w:t xml:space="preserve">Artikel 121, § 2 oud BW bepaalt dat de beslissing houdende verklaring van afwezigheid alle gevolgen van het overlijden heeft </w:t>
      </w:r>
      <w:r w:rsidRPr="00080285">
        <w:rPr>
          <w:i/>
          <w:iCs/>
          <w:lang w:val="nl-NL"/>
        </w:rPr>
        <w:t>vanaf de datum van de opmaak van de akte van afwezigheid</w:t>
      </w:r>
      <w:r w:rsidRPr="00BA7D20">
        <w:rPr>
          <w:lang w:val="nl-NL"/>
        </w:rPr>
        <w:t>. De wetgever kiest daarmee voor een duidelijk aanknopingspunt: niet de uitspraak van het vonnis en evenmin de vermoedelijke datum van afwezigheid, maar de datum van de akte van de burgerlijke stand vormt het kantelmoment.</w:t>
      </w:r>
      <w:r w:rsidR="00742F3D" w:rsidRPr="00BA7D20">
        <w:rPr>
          <w:rStyle w:val="Voetnootmarkering"/>
          <w:lang w:val="nl-NL"/>
        </w:rPr>
        <w:footnoteReference w:id="10"/>
      </w:r>
    </w:p>
    <w:p w14:paraId="007AEAF7" w14:textId="77777777" w:rsidR="00921FA3" w:rsidRPr="00BA7D20" w:rsidRDefault="00921FA3" w:rsidP="00921FA3">
      <w:pPr>
        <w:spacing w:before="200" w:after="240"/>
        <w:contextualSpacing/>
        <w:jc w:val="both"/>
        <w:rPr>
          <w:lang w:val="nl-NL"/>
        </w:rPr>
      </w:pPr>
    </w:p>
    <w:p w14:paraId="1B7965CD" w14:textId="74DB9FE1" w:rsidR="00921FA3" w:rsidRPr="00BA7D20" w:rsidRDefault="00921FA3" w:rsidP="00921FA3">
      <w:pPr>
        <w:numPr>
          <w:ilvl w:val="0"/>
          <w:numId w:val="11"/>
        </w:numPr>
        <w:spacing w:before="200" w:after="240"/>
        <w:ind w:left="0" w:firstLine="0"/>
        <w:contextualSpacing/>
        <w:jc w:val="both"/>
        <w:rPr>
          <w:lang w:val="nl-NL"/>
        </w:rPr>
      </w:pPr>
      <w:r w:rsidRPr="00BA7D20">
        <w:rPr>
          <w:lang w:val="nl-NL"/>
        </w:rPr>
        <w:t xml:space="preserve">Vanaf deze </w:t>
      </w:r>
      <w:r w:rsidR="0023363F" w:rsidRPr="00BA7D20">
        <w:rPr>
          <w:lang w:val="nl-NL"/>
        </w:rPr>
        <w:t>kantel</w:t>
      </w:r>
      <w:r w:rsidRPr="00BA7D20">
        <w:rPr>
          <w:lang w:val="nl-NL"/>
        </w:rPr>
        <w:t>datum wordt de afwezige persoon juridisch behandeld als een overleden persoon.</w:t>
      </w:r>
      <w:r w:rsidR="00B23EDC" w:rsidRPr="00BA7D20">
        <w:rPr>
          <w:rStyle w:val="Voetnootmarkering"/>
          <w:lang w:val="nl-NL"/>
        </w:rPr>
        <w:footnoteReference w:id="11"/>
      </w:r>
      <w:r w:rsidRPr="00BA7D20">
        <w:rPr>
          <w:lang w:val="nl-NL"/>
        </w:rPr>
        <w:t xml:space="preserve"> Dit brengt </w:t>
      </w:r>
      <w:r w:rsidR="0023363F" w:rsidRPr="00BA7D20">
        <w:rPr>
          <w:lang w:val="nl-NL"/>
        </w:rPr>
        <w:t>met zich</w:t>
      </w:r>
      <w:r w:rsidRPr="00BA7D20">
        <w:rPr>
          <w:lang w:val="nl-NL"/>
        </w:rPr>
        <w:t xml:space="preserve"> mee dat het huwelijk </w:t>
      </w:r>
      <w:r w:rsidR="00742F3D" w:rsidRPr="00BA7D20">
        <w:rPr>
          <w:lang w:val="nl-NL"/>
        </w:rPr>
        <w:t xml:space="preserve">en de wettelijke samenwoning </w:t>
      </w:r>
      <w:r w:rsidRPr="00BA7D20">
        <w:rPr>
          <w:lang w:val="nl-NL"/>
        </w:rPr>
        <w:t>wordt ontbonden</w:t>
      </w:r>
      <w:r w:rsidR="00D63BB4" w:rsidRPr="00BA7D20">
        <w:rPr>
          <w:rStyle w:val="Voetnootmarkering"/>
          <w:lang w:val="nl-NL"/>
        </w:rPr>
        <w:footnoteReference w:id="12"/>
      </w:r>
      <w:r w:rsidRPr="00BA7D20">
        <w:rPr>
          <w:lang w:val="nl-NL"/>
        </w:rPr>
        <w:t>, de nalatenschap openvalt en de erfgenamen in volle eigendom verkrijgen wat voordien onder beheer stond.</w:t>
      </w:r>
      <w:r w:rsidRPr="00BA7D20">
        <w:rPr>
          <w:rStyle w:val="Voetnootmarkering"/>
          <w:lang w:val="nl-NL"/>
        </w:rPr>
        <w:footnoteReference w:id="13"/>
      </w:r>
      <w:r w:rsidRPr="00BA7D20">
        <w:rPr>
          <w:lang w:val="nl-NL"/>
        </w:rPr>
        <w:t xml:space="preserve"> </w:t>
      </w:r>
      <w:r w:rsidR="00D63BB4" w:rsidRPr="00BA7D20">
        <w:rPr>
          <w:lang w:val="nl-NL"/>
        </w:rPr>
        <w:t>Vanaf deze datum wordt de afwezige als fysiek overleden beschouwd en kan hij geen aanspraken in andermans nalatenschap meer laten gelden.</w:t>
      </w:r>
      <w:r w:rsidR="00742F3D" w:rsidRPr="00BA7D20">
        <w:rPr>
          <w:rStyle w:val="Voetnootmarkering"/>
          <w:lang w:val="nl-NL"/>
        </w:rPr>
        <w:footnoteReference w:id="14"/>
      </w:r>
      <w:r w:rsidR="0023363F" w:rsidRPr="00BA7D20">
        <w:rPr>
          <w:lang w:val="nl-NL"/>
        </w:rPr>
        <w:t xml:space="preserve"> </w:t>
      </w:r>
      <w:r w:rsidRPr="00BA7D20">
        <w:rPr>
          <w:lang w:val="nl-NL"/>
        </w:rPr>
        <w:t>Ook verzekeringsprestaties die afhankelijk zijn van overlijden kunnen opeisbaar worden en, in voorkomend geval, kan de voogdij over minderjarige kinderen worden geopend.</w:t>
      </w:r>
      <w:r w:rsidR="00B23EDC" w:rsidRPr="00BA7D20">
        <w:rPr>
          <w:rStyle w:val="Voetnootmarkering"/>
          <w:lang w:val="nl-NL"/>
        </w:rPr>
        <w:footnoteReference w:id="15"/>
      </w:r>
      <w:r w:rsidRPr="00BA7D20">
        <w:rPr>
          <w:lang w:val="nl-NL"/>
        </w:rPr>
        <w:t xml:space="preserve"> Daarnaast kunnen </w:t>
      </w:r>
      <w:r w:rsidR="0023363F" w:rsidRPr="00BA7D20">
        <w:rPr>
          <w:lang w:val="nl-NL"/>
        </w:rPr>
        <w:t xml:space="preserve">vanaf deze kanteldatum </w:t>
      </w:r>
      <w:r w:rsidRPr="00BA7D20">
        <w:rPr>
          <w:lang w:val="nl-NL"/>
        </w:rPr>
        <w:t xml:space="preserve">fiscale gevolgen optreden, zoals de heffing van </w:t>
      </w:r>
      <w:r w:rsidR="00F1698E">
        <w:rPr>
          <w:lang w:val="nl-NL"/>
        </w:rPr>
        <w:t>erfbelasting</w:t>
      </w:r>
      <w:r w:rsidR="00F1698E" w:rsidRPr="00BA7D20">
        <w:rPr>
          <w:lang w:val="nl-NL"/>
        </w:rPr>
        <w:t xml:space="preserve"> </w:t>
      </w:r>
      <w:r w:rsidRPr="00BA7D20">
        <w:rPr>
          <w:lang w:val="nl-NL"/>
        </w:rPr>
        <w:t>volgens de algemene regels.</w:t>
      </w:r>
      <w:r w:rsidR="006D095B" w:rsidRPr="00BA7D20">
        <w:rPr>
          <w:vertAlign w:val="superscript"/>
          <w:lang w:val="nl-NL"/>
        </w:rPr>
        <w:footnoteReference w:id="16"/>
      </w:r>
    </w:p>
    <w:p w14:paraId="420F8556" w14:textId="77777777" w:rsidR="00D63BB4" w:rsidRPr="00BA7D20" w:rsidRDefault="00D63BB4" w:rsidP="00D63BB4">
      <w:pPr>
        <w:spacing w:before="200" w:after="240"/>
        <w:contextualSpacing/>
        <w:jc w:val="both"/>
        <w:rPr>
          <w:lang w:val="nl-NL"/>
        </w:rPr>
      </w:pPr>
    </w:p>
    <w:p w14:paraId="0047E6D5" w14:textId="75EFEF12" w:rsidR="00C9016B" w:rsidRPr="00BA7D20" w:rsidRDefault="00921FA3" w:rsidP="001046C5">
      <w:pPr>
        <w:numPr>
          <w:ilvl w:val="0"/>
          <w:numId w:val="11"/>
        </w:numPr>
        <w:spacing w:before="200" w:after="240"/>
        <w:ind w:left="0" w:firstLine="0"/>
        <w:contextualSpacing/>
        <w:jc w:val="both"/>
        <w:rPr>
          <w:lang w:val="nl-NL"/>
        </w:rPr>
      </w:pPr>
      <w:r w:rsidRPr="00BA7D20">
        <w:rPr>
          <w:lang w:val="nl-NL"/>
        </w:rPr>
        <w:t xml:space="preserve">De gevolgen werken niet retroactief tot het moment van afwezigheid of tot de rechterlijke beslissing zelf. De koppeling aan de akte van afwezigheid beoogt </w:t>
      </w:r>
      <w:r w:rsidR="0023363F" w:rsidRPr="00BA7D20">
        <w:rPr>
          <w:lang w:val="nl-NL"/>
        </w:rPr>
        <w:t xml:space="preserve">immers </w:t>
      </w:r>
      <w:r w:rsidRPr="00BA7D20">
        <w:rPr>
          <w:lang w:val="nl-NL"/>
        </w:rPr>
        <w:t>rechtszekerheid voor derden en voor de achterblijvende familieleden, doordat een duidelijk en objectief vaststelbare datum wordt gehanteerd.</w:t>
      </w:r>
      <w:r w:rsidR="0023363F" w:rsidRPr="00BA7D20">
        <w:rPr>
          <w:rStyle w:val="Voetnootmarkering"/>
          <w:lang w:val="nl-NL"/>
        </w:rPr>
        <w:footnoteReference w:id="17"/>
      </w:r>
    </w:p>
    <w:p w14:paraId="4721CEC7" w14:textId="7C1A5637" w:rsidR="00921FA3" w:rsidRPr="00BA7D20" w:rsidRDefault="00F1698E" w:rsidP="006D095B">
      <w:pPr>
        <w:pStyle w:val="Kop1"/>
        <w:rPr>
          <w:lang w:val="nl-NL"/>
        </w:rPr>
      </w:pPr>
      <w:r>
        <w:rPr>
          <w:lang w:val="nl-NL"/>
        </w:rPr>
        <w:t xml:space="preserve"> </w:t>
      </w:r>
      <w:r w:rsidR="00921FA3" w:rsidRPr="00BA7D20">
        <w:rPr>
          <w:lang w:val="nl-NL"/>
        </w:rPr>
        <w:t>Samenhang met artikel 12</w:t>
      </w:r>
      <w:r w:rsidR="006D095B" w:rsidRPr="00BA7D20">
        <w:rPr>
          <w:lang w:val="nl-NL"/>
        </w:rPr>
        <w:t>2</w:t>
      </w:r>
      <w:r w:rsidR="00921FA3" w:rsidRPr="00BA7D20">
        <w:rPr>
          <w:lang w:val="nl-NL"/>
        </w:rPr>
        <w:t xml:space="preserve"> oud BW</w:t>
      </w:r>
    </w:p>
    <w:p w14:paraId="4B18AE6B" w14:textId="289160CB" w:rsidR="00921FA3" w:rsidRPr="00BA7D20" w:rsidRDefault="00921FA3" w:rsidP="006D095B">
      <w:pPr>
        <w:numPr>
          <w:ilvl w:val="0"/>
          <w:numId w:val="11"/>
        </w:numPr>
        <w:spacing w:before="200" w:after="240"/>
        <w:ind w:left="0" w:firstLine="0"/>
        <w:contextualSpacing/>
        <w:jc w:val="both"/>
        <w:rPr>
          <w:lang w:val="nl-NL"/>
        </w:rPr>
      </w:pPr>
      <w:r w:rsidRPr="00BA7D20">
        <w:rPr>
          <w:lang w:val="nl-NL"/>
        </w:rPr>
        <w:t xml:space="preserve">Omdat de akte van afwezigheid een autonome </w:t>
      </w:r>
      <w:r w:rsidR="006D095B" w:rsidRPr="00BA7D20">
        <w:rPr>
          <w:lang w:val="nl-NL"/>
        </w:rPr>
        <w:t>akte van de burgerlijke stand</w:t>
      </w:r>
      <w:r w:rsidRPr="00BA7D20">
        <w:rPr>
          <w:lang w:val="nl-NL"/>
        </w:rPr>
        <w:t xml:space="preserve"> is, kan </w:t>
      </w:r>
      <w:r w:rsidR="006D095B" w:rsidRPr="00BA7D20">
        <w:rPr>
          <w:lang w:val="nl-NL"/>
        </w:rPr>
        <w:t>deze akte</w:t>
      </w:r>
      <w:r w:rsidRPr="00BA7D20">
        <w:rPr>
          <w:lang w:val="nl-NL"/>
        </w:rPr>
        <w:t xml:space="preserve"> worden verbeterd of aangepast indien de afwezige terugkeert of indien het bewijs van zijn bestaan wordt geleverd</w:t>
      </w:r>
      <w:r w:rsidR="006D095B" w:rsidRPr="00BA7D20">
        <w:rPr>
          <w:lang w:val="nl-NL"/>
        </w:rPr>
        <w:t xml:space="preserve"> (zie de commentaar bij artikel 122 oud BW)</w:t>
      </w:r>
      <w:r w:rsidRPr="00BA7D20">
        <w:rPr>
          <w:lang w:val="nl-NL"/>
        </w:rPr>
        <w:t>. Deze mogelijkheid onderstreept het voorlopige karakter van de juridische fictie waarop artikel 121</w:t>
      </w:r>
      <w:r w:rsidR="006D095B" w:rsidRPr="00BA7D20">
        <w:rPr>
          <w:lang w:val="nl-NL"/>
        </w:rPr>
        <w:t xml:space="preserve"> oud BW</w:t>
      </w:r>
      <w:r w:rsidRPr="00BA7D20">
        <w:rPr>
          <w:lang w:val="nl-NL"/>
        </w:rPr>
        <w:t xml:space="preserve"> steunt en waarborgt dat de burgerlijke sta</w:t>
      </w:r>
      <w:r w:rsidR="00167D37">
        <w:rPr>
          <w:lang w:val="nl-NL"/>
        </w:rPr>
        <w:t>at</w:t>
      </w:r>
      <w:r w:rsidRPr="00BA7D20">
        <w:rPr>
          <w:lang w:val="nl-NL"/>
        </w:rPr>
        <w:t xml:space="preserve"> kan worden aangepast aan een gewijzigde feitelijke situatie.</w:t>
      </w:r>
      <w:r w:rsidR="006D095B" w:rsidRPr="00BA7D20">
        <w:rPr>
          <w:rStyle w:val="Voetnootmarkering"/>
          <w:lang w:val="nl-NL"/>
        </w:rPr>
        <w:footnoteReference w:id="18"/>
      </w:r>
    </w:p>
    <w:sectPr w:rsidR="00921FA3" w:rsidRPr="00BA7D20" w:rsidSect="00693C29">
      <w:headerReference w:type="default" r:id="rId8"/>
      <w:footerReference w:type="default" r:id="rId9"/>
      <w:headerReference w:type="first" r:id="rId1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EE136" w14:textId="77777777" w:rsidR="004F0239" w:rsidRDefault="004F0239" w:rsidP="00F528FC">
      <w:r>
        <w:separator/>
      </w:r>
    </w:p>
  </w:endnote>
  <w:endnote w:type="continuationSeparator" w:id="0">
    <w:p w14:paraId="00B36CF2" w14:textId="77777777" w:rsidR="004F0239" w:rsidRDefault="004F0239" w:rsidP="00F5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489820"/>
      <w:docPartObj>
        <w:docPartGallery w:val="Page Numbers (Bottom of Page)"/>
        <w:docPartUnique/>
      </w:docPartObj>
    </w:sdtPr>
    <w:sdtEndPr>
      <w:rPr>
        <w:noProof/>
      </w:rPr>
    </w:sdtEndPr>
    <w:sdtContent>
      <w:p w14:paraId="5C0CC68A" w14:textId="33990FD7" w:rsidR="00230428" w:rsidRDefault="00230428" w:rsidP="007C1A20">
        <w:pPr>
          <w:jc w:val="center"/>
        </w:pPr>
        <w:r>
          <w:fldChar w:fldCharType="begin"/>
        </w:r>
        <w:r>
          <w:instrText xml:space="preserve"> PAGE   \* MERGEFORMAT </w:instrText>
        </w:r>
        <w:r>
          <w:fldChar w:fldCharType="separate"/>
        </w:r>
        <w:r w:rsidR="002F7284">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1F90E" w14:textId="77777777" w:rsidR="004F0239" w:rsidRDefault="004F0239" w:rsidP="00F528FC">
      <w:r>
        <w:separator/>
      </w:r>
    </w:p>
  </w:footnote>
  <w:footnote w:type="continuationSeparator" w:id="0">
    <w:p w14:paraId="0A5E6284" w14:textId="77777777" w:rsidR="004F0239" w:rsidRDefault="004F0239" w:rsidP="00F528FC">
      <w:r>
        <w:continuationSeparator/>
      </w:r>
    </w:p>
  </w:footnote>
  <w:footnote w:id="1">
    <w:p w14:paraId="7DFE0570" w14:textId="6DBD34AB" w:rsidR="00D63BB4" w:rsidRPr="00D63BB4" w:rsidRDefault="00D63BB4" w:rsidP="00BA7D20">
      <w:pPr>
        <w:pStyle w:val="Voetnoottekst"/>
        <w:jc w:val="both"/>
      </w:pPr>
      <w:r>
        <w:rPr>
          <w:rStyle w:val="Voetnootmarkering"/>
        </w:rPr>
        <w:footnoteRef/>
      </w:r>
      <w:r>
        <w:t xml:space="preserve"> Zie wet 18 juni 2018 houdende diverse bepalingen inzake burgerlijk recht en bepalingen met het oog op de bevordering van alternatieve vormen van geschillenoplossing, </w:t>
      </w:r>
      <w:r>
        <w:rPr>
          <w:i/>
          <w:iCs/>
        </w:rPr>
        <w:t xml:space="preserve">BS </w:t>
      </w:r>
      <w:r>
        <w:t>2 juli 2018.</w:t>
      </w:r>
    </w:p>
  </w:footnote>
  <w:footnote w:id="2">
    <w:p w14:paraId="72E85803" w14:textId="1183A8B1" w:rsidR="00D63BB4" w:rsidRPr="00D63BB4" w:rsidRDefault="00D63BB4" w:rsidP="00BA7D20">
      <w:pPr>
        <w:pStyle w:val="Voetnoottekst"/>
        <w:jc w:val="both"/>
        <w:rPr>
          <w:lang w:val="nl-NL"/>
        </w:rPr>
      </w:pPr>
      <w:r w:rsidRPr="00D63BB4">
        <w:rPr>
          <w:rStyle w:val="Voetnootmarkering"/>
        </w:rPr>
        <w:footnoteRef/>
      </w:r>
      <w:r w:rsidRPr="00D63BB4">
        <w:t xml:space="preserve"> MvT bij wetsontwerp houdende diverse bepalingen inzake burgerlijk recht </w:t>
      </w:r>
      <w:r w:rsidRPr="00D63BB4">
        <w:rPr>
          <w:lang w:val="nl-NL"/>
        </w:rPr>
        <w:t xml:space="preserve">en houdende wijziging van het Gerechtelijk Wetboek met het oog op de bevordering van alternatieve vormen van geschillenoplossing, KAMER, 2017-2018, 5 februari 2018, </w:t>
      </w:r>
      <w:r w:rsidRPr="00D63BB4">
        <w:t xml:space="preserve"> nr. 54-2919/1, 3; HEYLEN S., ‘De modernisering en informatisering van de burgerlijke stand’ in BAEL J. (ed.), </w:t>
      </w:r>
      <w:r w:rsidRPr="00D63BB4">
        <w:rPr>
          <w:i/>
          <w:iCs/>
        </w:rPr>
        <w:t>Rechtskroniek voor het Notariaat</w:t>
      </w:r>
      <w:r w:rsidRPr="00D63BB4">
        <w:t>, deel 35, 2019, Knops Publishing, (5) 26</w:t>
      </w:r>
      <w:r w:rsidR="000410DE">
        <w:t xml:space="preserve">; </w:t>
      </w:r>
      <w:r w:rsidR="000410DE" w:rsidRPr="000410DE">
        <w:t xml:space="preserve">HEYLEN S., ‘De modernisering en informatisering van de burgerlijke stand. Commentaar bij de wet van 18 juni 2018 en titel 11 van de wet van 21 december 2018’, </w:t>
      </w:r>
      <w:r w:rsidR="000410DE" w:rsidRPr="000410DE">
        <w:rPr>
          <w:i/>
          <w:iCs/>
        </w:rPr>
        <w:t>T.Fam.</w:t>
      </w:r>
      <w:r w:rsidR="000410DE" w:rsidRPr="000410DE">
        <w:t xml:space="preserve"> 2019/6, </w:t>
      </w:r>
      <w:r w:rsidR="000410DE">
        <w:t>(</w:t>
      </w:r>
      <w:r w:rsidR="000410DE" w:rsidRPr="000410DE">
        <w:t>148</w:t>
      </w:r>
      <w:r w:rsidR="000410DE">
        <w:t>) 149</w:t>
      </w:r>
      <w:r w:rsidR="000410DE" w:rsidRPr="000410DE">
        <w:t>.</w:t>
      </w:r>
    </w:p>
  </w:footnote>
  <w:footnote w:id="3">
    <w:p w14:paraId="5CA74DD7" w14:textId="30A864FF" w:rsidR="00D63BB4" w:rsidRPr="00D63BB4" w:rsidRDefault="00D63BB4" w:rsidP="00BA7D20">
      <w:pPr>
        <w:pStyle w:val="Voetnoottekst"/>
        <w:jc w:val="both"/>
        <w:rPr>
          <w:lang w:val="nl-NL"/>
        </w:rPr>
      </w:pPr>
      <w:r>
        <w:rPr>
          <w:rStyle w:val="Voetnootmarkering"/>
        </w:rPr>
        <w:footnoteRef/>
      </w:r>
      <w:r>
        <w:t xml:space="preserve"> </w:t>
      </w:r>
      <w:r w:rsidRPr="00D63BB4">
        <w:t xml:space="preserve">DELNOY P., ‘L’absence’, </w:t>
      </w:r>
      <w:r w:rsidRPr="00D63BB4">
        <w:rPr>
          <w:i/>
          <w:iCs/>
        </w:rPr>
        <w:t>Rev.</w:t>
      </w:r>
      <w:r w:rsidR="006B3B0B">
        <w:rPr>
          <w:i/>
          <w:iCs/>
        </w:rPr>
        <w:t>d</w:t>
      </w:r>
      <w:r w:rsidRPr="00D63BB4">
        <w:rPr>
          <w:i/>
          <w:iCs/>
        </w:rPr>
        <w:t>r.Liège</w:t>
      </w:r>
      <w:r w:rsidRPr="00D63BB4">
        <w:t xml:space="preserve"> 2008/2, (133) 175-176, nr. 53.</w:t>
      </w:r>
    </w:p>
  </w:footnote>
  <w:footnote w:id="4">
    <w:p w14:paraId="7D7B4718" w14:textId="5F6AAEB3" w:rsidR="00921FA3" w:rsidRDefault="00921FA3" w:rsidP="00BA7D20">
      <w:pPr>
        <w:pStyle w:val="Voetnoottekst"/>
        <w:jc w:val="both"/>
      </w:pPr>
      <w:r>
        <w:rPr>
          <w:rStyle w:val="Voetnootmarkering"/>
        </w:rPr>
        <w:footnoteRef/>
      </w:r>
      <w:r>
        <w:t xml:space="preserve"> </w:t>
      </w:r>
      <w:r>
        <w:rPr>
          <w:lang w:val="nl-NL"/>
        </w:rPr>
        <w:t>Wetsontwerp houdende diverse bepalingen inzake burgerlijk recht en houdende wijziging van het Gerechtelijk Wetboek met het oog op de bevordering van alternatieve vormen van geschillenoplossing, KAMER, 2017-2018, 5 februari 2018, nr. 54-2919/1, 10.</w:t>
      </w:r>
    </w:p>
  </w:footnote>
  <w:footnote w:id="5">
    <w:p w14:paraId="29A2D6C8" w14:textId="2226296D" w:rsidR="00921FA3" w:rsidRDefault="00921FA3" w:rsidP="00BA7D20">
      <w:pPr>
        <w:pStyle w:val="Voetnoottekst"/>
        <w:jc w:val="both"/>
      </w:pPr>
      <w:r>
        <w:rPr>
          <w:rStyle w:val="Voetnootmarkering"/>
        </w:rPr>
        <w:footnoteRef/>
      </w:r>
      <w:r>
        <w:t xml:space="preserve"> </w:t>
      </w:r>
      <w:r w:rsidR="00BA7D20">
        <w:rPr>
          <w:i/>
          <w:iCs/>
          <w:lang w:val="nl-NL"/>
        </w:rPr>
        <w:t>Ibid.,</w:t>
      </w:r>
      <w:r>
        <w:rPr>
          <w:lang w:val="nl-NL"/>
        </w:rPr>
        <w:t xml:space="preserve"> 137.</w:t>
      </w:r>
    </w:p>
  </w:footnote>
  <w:footnote w:id="6">
    <w:p w14:paraId="26BD02B7" w14:textId="1975BA5E" w:rsidR="00921FA3" w:rsidRDefault="00921FA3" w:rsidP="00BA7D20">
      <w:pPr>
        <w:pStyle w:val="Voetnoottekst"/>
        <w:jc w:val="both"/>
      </w:pPr>
      <w:r>
        <w:rPr>
          <w:rStyle w:val="Voetnootmarkering"/>
        </w:rPr>
        <w:footnoteRef/>
      </w:r>
      <w:r>
        <w:t xml:space="preserve"> </w:t>
      </w:r>
      <w:r w:rsidR="00BA7D20">
        <w:rPr>
          <w:i/>
          <w:iCs/>
          <w:lang w:val="nl-NL"/>
        </w:rPr>
        <w:t>Ibid.,</w:t>
      </w:r>
      <w:r>
        <w:rPr>
          <w:lang w:val="nl-NL"/>
        </w:rPr>
        <w:t xml:space="preserve"> 115.</w:t>
      </w:r>
    </w:p>
  </w:footnote>
  <w:footnote w:id="7">
    <w:p w14:paraId="2081EC71" w14:textId="77777777" w:rsidR="00921FA3" w:rsidRPr="00E213E5" w:rsidRDefault="00921FA3" w:rsidP="00BA7D20">
      <w:pPr>
        <w:pStyle w:val="Voetnoottekst"/>
        <w:jc w:val="both"/>
      </w:pPr>
      <w:r>
        <w:rPr>
          <w:rStyle w:val="Voetnootmarkering"/>
        </w:rPr>
        <w:footnoteRef/>
      </w:r>
      <w:r>
        <w:t xml:space="preserve"> Wet van 18 juni 2018 houdende diverse bepalingen inzake burgerlijk recht en bepalingen met het oog op de bevordering van alternatieve vormen van geschillenoplossing, </w:t>
      </w:r>
      <w:r>
        <w:rPr>
          <w:i/>
          <w:iCs/>
        </w:rPr>
        <w:t xml:space="preserve">BS </w:t>
      </w:r>
      <w:r>
        <w:t>2 juli 2018.</w:t>
      </w:r>
    </w:p>
  </w:footnote>
  <w:footnote w:id="8">
    <w:p w14:paraId="67B92285" w14:textId="09D65B0C" w:rsidR="00921FA3" w:rsidRDefault="00921FA3" w:rsidP="00BA7D20">
      <w:pPr>
        <w:pStyle w:val="Voetnoottekst"/>
        <w:jc w:val="both"/>
      </w:pPr>
      <w:r>
        <w:rPr>
          <w:rStyle w:val="Voetnootmarkering"/>
        </w:rPr>
        <w:footnoteRef/>
      </w:r>
      <w:r>
        <w:t xml:space="preserve"> </w:t>
      </w:r>
      <w:r>
        <w:rPr>
          <w:lang w:val="nl-NL"/>
        </w:rPr>
        <w:t>Wetsontwerp houdende diverse bepalingen inzake burgerlijk recht en houdende wijziging van het Gerechtelijk Wetboek met het oog op de bevordering van alternatieve vormen van geschillenoplossing, KAMER, 2017-2018, 5 februari 2018, nr. 54-2919/1, 11.</w:t>
      </w:r>
    </w:p>
  </w:footnote>
  <w:footnote w:id="9">
    <w:p w14:paraId="643B7D15" w14:textId="5D14E4D1" w:rsidR="00921FA3" w:rsidRDefault="00921FA3" w:rsidP="00BA7D20">
      <w:pPr>
        <w:pStyle w:val="Voetnoottekst"/>
        <w:jc w:val="both"/>
      </w:pPr>
      <w:r>
        <w:rPr>
          <w:rStyle w:val="Voetnootmarkering"/>
        </w:rPr>
        <w:footnoteRef/>
      </w:r>
      <w:r>
        <w:t xml:space="preserve"> </w:t>
      </w:r>
      <w:r w:rsidR="00BA7D20">
        <w:rPr>
          <w:i/>
          <w:iCs/>
          <w:lang w:val="nl-NL"/>
        </w:rPr>
        <w:t xml:space="preserve">Ibid., </w:t>
      </w:r>
      <w:r>
        <w:rPr>
          <w:lang w:val="nl-NL"/>
        </w:rPr>
        <w:t>138.</w:t>
      </w:r>
    </w:p>
  </w:footnote>
  <w:footnote w:id="10">
    <w:p w14:paraId="50124302" w14:textId="12E93B6E" w:rsidR="00742F3D" w:rsidRDefault="00742F3D" w:rsidP="00BA7D20">
      <w:pPr>
        <w:pStyle w:val="Voetnoottekst"/>
        <w:jc w:val="both"/>
      </w:pPr>
      <w:r>
        <w:rPr>
          <w:rStyle w:val="Voetnootmarkering"/>
        </w:rPr>
        <w:footnoteRef/>
      </w:r>
      <w:r>
        <w:t xml:space="preserve"> Zie nog over het vroegere art. 121 oud BW (zonder DABS): Wetsvoorstel tot wijziging van de wetsbepalingen betreffende de afwezigheid en de gerechtelijke verklaring van overlijden, KAMER, 2005-2006, 26 april 2006, nr. 51-614/5, 29.</w:t>
      </w:r>
    </w:p>
  </w:footnote>
  <w:footnote w:id="11">
    <w:p w14:paraId="4049C41C" w14:textId="47376779" w:rsidR="00B23EDC" w:rsidRPr="00B23EDC" w:rsidRDefault="00B23EDC" w:rsidP="00BA7D20">
      <w:pPr>
        <w:jc w:val="both"/>
        <w:rPr>
          <w:lang w:val="nl-NL"/>
        </w:rPr>
      </w:pPr>
      <w:r w:rsidRPr="00B23EDC">
        <w:rPr>
          <w:sz w:val="20"/>
          <w:szCs w:val="20"/>
          <w:vertAlign w:val="superscript"/>
          <w:lang w:val="nl-NL"/>
        </w:rPr>
        <w:footnoteRef/>
      </w:r>
      <w:r w:rsidRPr="00B23EDC">
        <w:rPr>
          <w:sz w:val="20"/>
          <w:szCs w:val="20"/>
          <w:lang w:val="nl-NL"/>
        </w:rPr>
        <w:t xml:space="preserve"> DELNOY P., ‘L’absence’, </w:t>
      </w:r>
      <w:r w:rsidRPr="00B23EDC">
        <w:rPr>
          <w:i/>
          <w:iCs/>
          <w:sz w:val="20"/>
          <w:szCs w:val="20"/>
          <w:lang w:val="nl-NL"/>
        </w:rPr>
        <w:t>Rev.</w:t>
      </w:r>
      <w:r w:rsidR="00F344AB">
        <w:rPr>
          <w:i/>
          <w:iCs/>
          <w:sz w:val="20"/>
          <w:szCs w:val="20"/>
          <w:lang w:val="nl-NL"/>
        </w:rPr>
        <w:t>d</w:t>
      </w:r>
      <w:r w:rsidRPr="00B23EDC">
        <w:rPr>
          <w:i/>
          <w:iCs/>
          <w:sz w:val="20"/>
          <w:szCs w:val="20"/>
          <w:lang w:val="nl-NL"/>
        </w:rPr>
        <w:t>r.Liège</w:t>
      </w:r>
      <w:r w:rsidRPr="00B23EDC">
        <w:rPr>
          <w:sz w:val="20"/>
          <w:szCs w:val="20"/>
          <w:lang w:val="nl-NL"/>
        </w:rPr>
        <w:t xml:space="preserve"> 2008/2, </w:t>
      </w:r>
      <w:r>
        <w:rPr>
          <w:sz w:val="20"/>
          <w:szCs w:val="20"/>
          <w:lang w:val="nl-NL"/>
        </w:rPr>
        <w:t xml:space="preserve">(133) </w:t>
      </w:r>
      <w:r w:rsidRPr="00B23EDC">
        <w:rPr>
          <w:sz w:val="20"/>
          <w:szCs w:val="20"/>
          <w:lang w:val="nl-NL"/>
        </w:rPr>
        <w:t>175-176, nr. 53.</w:t>
      </w:r>
    </w:p>
  </w:footnote>
  <w:footnote w:id="12">
    <w:p w14:paraId="74F1EA49" w14:textId="7012009B" w:rsidR="00D63BB4" w:rsidRPr="00742F3D" w:rsidRDefault="00D63BB4" w:rsidP="00BA7D20">
      <w:pPr>
        <w:pStyle w:val="Voetnoottekst"/>
        <w:jc w:val="both"/>
      </w:pPr>
      <w:r>
        <w:rPr>
          <w:rStyle w:val="Voetnootmarkering"/>
        </w:rPr>
        <w:footnoteRef/>
      </w:r>
      <w:r w:rsidRPr="00D63BB4">
        <w:t xml:space="preserve"> </w:t>
      </w:r>
      <w:r w:rsidR="00742F3D">
        <w:t>SENAEVE P.</w:t>
      </w:r>
      <w:r w:rsidR="000410DE">
        <w:t xml:space="preserve">, </w:t>
      </w:r>
      <w:r w:rsidR="00742F3D">
        <w:t>DECLERCK C.</w:t>
      </w:r>
      <w:r w:rsidR="000410DE">
        <w:t xml:space="preserve"> en WUYTS T.</w:t>
      </w:r>
      <w:r w:rsidR="00742F3D">
        <w:t xml:space="preserve">, </w:t>
      </w:r>
      <w:r w:rsidR="00742F3D">
        <w:rPr>
          <w:i/>
          <w:iCs/>
        </w:rPr>
        <w:t xml:space="preserve">Compendium van het personen- en familierecht, </w:t>
      </w:r>
      <w:r w:rsidR="00742F3D">
        <w:t xml:space="preserve">Acco, </w:t>
      </w:r>
      <w:r w:rsidR="00742F3D" w:rsidRPr="000410DE">
        <w:t>202</w:t>
      </w:r>
      <w:r w:rsidR="000410DE">
        <w:t>5</w:t>
      </w:r>
      <w:r w:rsidR="00742F3D">
        <w:t xml:space="preserve">, </w:t>
      </w:r>
      <w:r w:rsidR="000410DE">
        <w:t>615</w:t>
      </w:r>
      <w:r w:rsidR="00742F3D">
        <w:t xml:space="preserve">, nr. </w:t>
      </w:r>
      <w:r w:rsidR="000410DE">
        <w:t>1966-1976</w:t>
      </w:r>
      <w:r w:rsidR="00742F3D">
        <w:t xml:space="preserve">; </w:t>
      </w:r>
      <w:r w:rsidRPr="00D63BB4">
        <w:t xml:space="preserve">PARMENTIER E., ‘Art. 2.3.12 BW’ in </w:t>
      </w:r>
      <w:r w:rsidRPr="00D63BB4">
        <w:rPr>
          <w:i/>
          <w:iCs/>
        </w:rPr>
        <w:t>Comm.Pers.</w:t>
      </w:r>
      <w:r w:rsidRPr="00D63BB4">
        <w:t>, Kl</w:t>
      </w:r>
      <w:r>
        <w:t>uwer,</w:t>
      </w:r>
      <w:r w:rsidR="00742F3D">
        <w:t xml:space="preserve"> 2024,</w:t>
      </w:r>
      <w:r>
        <w:t xml:space="preserve"> nr. 9</w:t>
      </w:r>
      <w:r w:rsidR="00742F3D">
        <w:t xml:space="preserve">; SENAEVE P., ‘Het huwelijk van een wettelijk samenwonende met een derde – Reparatie na 25 jaar wettelijke samenwoning. Commentaar bij de wet van 8 februari 2023’, </w:t>
      </w:r>
      <w:r w:rsidR="00742F3D">
        <w:rPr>
          <w:i/>
          <w:iCs/>
        </w:rPr>
        <w:t xml:space="preserve">T.Fam. </w:t>
      </w:r>
      <w:r w:rsidR="00742F3D">
        <w:t>2023/3-4, (101) 101.</w:t>
      </w:r>
    </w:p>
  </w:footnote>
  <w:footnote w:id="13">
    <w:p w14:paraId="33E614AD" w14:textId="338968D2" w:rsidR="00921FA3" w:rsidRPr="00080285" w:rsidRDefault="00921FA3" w:rsidP="00BA7D20">
      <w:pPr>
        <w:jc w:val="both"/>
      </w:pPr>
      <w:r w:rsidRPr="006D095B">
        <w:rPr>
          <w:rStyle w:val="Voetnootmarkering"/>
          <w:sz w:val="20"/>
          <w:szCs w:val="20"/>
        </w:rPr>
        <w:footnoteRef/>
      </w:r>
      <w:r w:rsidRPr="00080285">
        <w:rPr>
          <w:sz w:val="20"/>
          <w:szCs w:val="20"/>
        </w:rPr>
        <w:t xml:space="preserve"> </w:t>
      </w:r>
      <w:r w:rsidR="00742F3D" w:rsidRPr="00080285">
        <w:rPr>
          <w:sz w:val="20"/>
          <w:szCs w:val="20"/>
        </w:rPr>
        <w:t xml:space="preserve">DEHALLEUX V., ‘Absence et déclaration judiciaire de décès (lois des 9 et 10 mai 2007)’ in LELEU Y.-H., </w:t>
      </w:r>
      <w:r w:rsidR="00742F3D" w:rsidRPr="00080285">
        <w:rPr>
          <w:i/>
          <w:iCs/>
          <w:sz w:val="20"/>
          <w:szCs w:val="20"/>
        </w:rPr>
        <w:t xml:space="preserve">Chroniques Notariales, </w:t>
      </w:r>
      <w:r w:rsidR="00742F3D" w:rsidRPr="00080285">
        <w:rPr>
          <w:sz w:val="20"/>
          <w:szCs w:val="20"/>
        </w:rPr>
        <w:t xml:space="preserve">Larcier, 2007, (359) 369; </w:t>
      </w:r>
      <w:r w:rsidR="006D095B" w:rsidRPr="00080285">
        <w:rPr>
          <w:sz w:val="20"/>
          <w:szCs w:val="20"/>
        </w:rPr>
        <w:t xml:space="preserve">EEMAN R., ‘Afwezigheid en gerechtelijke verklaring van overlijden’, </w:t>
      </w:r>
      <w:r w:rsidR="006D095B" w:rsidRPr="00080285">
        <w:rPr>
          <w:i/>
          <w:iCs/>
          <w:sz w:val="20"/>
          <w:szCs w:val="20"/>
        </w:rPr>
        <w:t>Notamus</w:t>
      </w:r>
      <w:r w:rsidR="006D095B" w:rsidRPr="00080285">
        <w:rPr>
          <w:sz w:val="20"/>
          <w:szCs w:val="20"/>
        </w:rPr>
        <w:t xml:space="preserve"> 2008/1, (37) 40</w:t>
      </w:r>
      <w:r w:rsidR="00B23EDC" w:rsidRPr="00080285">
        <w:rPr>
          <w:sz w:val="20"/>
          <w:szCs w:val="20"/>
        </w:rPr>
        <w:t xml:space="preserve">; DELNOY P., ‘L’absence’, </w:t>
      </w:r>
      <w:r w:rsidR="00B23EDC" w:rsidRPr="00080285">
        <w:rPr>
          <w:i/>
          <w:iCs/>
          <w:sz w:val="20"/>
          <w:szCs w:val="20"/>
        </w:rPr>
        <w:t>Rev.</w:t>
      </w:r>
      <w:r w:rsidR="00F344AB" w:rsidRPr="00080285">
        <w:rPr>
          <w:i/>
          <w:iCs/>
          <w:sz w:val="20"/>
          <w:szCs w:val="20"/>
        </w:rPr>
        <w:t>d</w:t>
      </w:r>
      <w:r w:rsidR="00B23EDC" w:rsidRPr="00080285">
        <w:rPr>
          <w:i/>
          <w:iCs/>
          <w:sz w:val="20"/>
          <w:szCs w:val="20"/>
        </w:rPr>
        <w:t>r.Liège</w:t>
      </w:r>
      <w:r w:rsidR="00B23EDC" w:rsidRPr="00080285">
        <w:rPr>
          <w:sz w:val="20"/>
          <w:szCs w:val="20"/>
        </w:rPr>
        <w:t xml:space="preserve"> 2008/2, (133) 177, nr. 55.</w:t>
      </w:r>
    </w:p>
  </w:footnote>
  <w:footnote w:id="14">
    <w:p w14:paraId="6273C1DF" w14:textId="79790E14" w:rsidR="00742F3D" w:rsidRDefault="00742F3D" w:rsidP="00BA7D20">
      <w:pPr>
        <w:pStyle w:val="Voetnoottekst"/>
        <w:jc w:val="both"/>
      </w:pPr>
      <w:r>
        <w:rPr>
          <w:rStyle w:val="Voetnootmarkering"/>
        </w:rPr>
        <w:footnoteRef/>
      </w:r>
      <w:r>
        <w:t xml:space="preserve"> JANSSENS L. en VAN WINCKELEN K., ‘Art. 4.5, lid 1 BW’ in </w:t>
      </w:r>
      <w:r>
        <w:rPr>
          <w:i/>
          <w:iCs/>
        </w:rPr>
        <w:t xml:space="preserve">OEST, </w:t>
      </w:r>
      <w:r>
        <w:t>Kluwer, 2023,</w:t>
      </w:r>
      <w:r>
        <w:rPr>
          <w:i/>
          <w:iCs/>
        </w:rPr>
        <w:t xml:space="preserve"> </w:t>
      </w:r>
      <w:r>
        <w:t>nr. 3.</w:t>
      </w:r>
    </w:p>
  </w:footnote>
  <w:footnote w:id="15">
    <w:p w14:paraId="3604BB15" w14:textId="273AE682" w:rsidR="00B23EDC" w:rsidRPr="00B23EDC" w:rsidRDefault="00B23EDC" w:rsidP="00BA7D20">
      <w:pPr>
        <w:pStyle w:val="Voetnoottekst"/>
        <w:jc w:val="both"/>
        <w:rPr>
          <w:lang w:val="nl-NL"/>
        </w:rPr>
      </w:pPr>
      <w:r>
        <w:rPr>
          <w:rStyle w:val="Voetnootmarkering"/>
        </w:rPr>
        <w:footnoteRef/>
      </w:r>
      <w:r>
        <w:t xml:space="preserve"> </w:t>
      </w:r>
      <w:r w:rsidRPr="00B23EDC">
        <w:t xml:space="preserve">EEMAN R., ‘Afwezigheid en gerechtelijke verklaring van overlijden’, </w:t>
      </w:r>
      <w:r w:rsidRPr="00B23EDC">
        <w:rPr>
          <w:i/>
          <w:iCs/>
        </w:rPr>
        <w:t>Notamus</w:t>
      </w:r>
      <w:r w:rsidRPr="00B23EDC">
        <w:t xml:space="preserve"> 2008/1, </w:t>
      </w:r>
      <w:r>
        <w:t>(</w:t>
      </w:r>
      <w:r w:rsidRPr="00B23EDC">
        <w:t>37</w:t>
      </w:r>
      <w:r>
        <w:t>) 40</w:t>
      </w:r>
      <w:r w:rsidRPr="00B23EDC">
        <w:t>.</w:t>
      </w:r>
    </w:p>
  </w:footnote>
  <w:footnote w:id="16">
    <w:p w14:paraId="0202A34B" w14:textId="77777777" w:rsidR="006D095B" w:rsidRDefault="006D095B" w:rsidP="00BA7D20">
      <w:pPr>
        <w:pStyle w:val="Voetnoottekst"/>
        <w:jc w:val="both"/>
      </w:pPr>
      <w:r>
        <w:rPr>
          <w:rStyle w:val="Voetnootmarkering"/>
        </w:rPr>
        <w:footnoteRef/>
      </w:r>
      <w:r>
        <w:t xml:space="preserve"> </w:t>
      </w:r>
      <w:r>
        <w:rPr>
          <w:lang w:val="nl-NL"/>
        </w:rPr>
        <w:t>MvT bij wetsvoorstel tot wijziging van de wetsbepalingen betreffende de afwezigheid en de gerechtelijke verklaring van overlijden, KAMER, 2003-2004, 29 december 2003, nr. 51-614/1, 9.</w:t>
      </w:r>
    </w:p>
  </w:footnote>
  <w:footnote w:id="17">
    <w:p w14:paraId="10B37C87" w14:textId="5D454E3F" w:rsidR="0023363F" w:rsidRPr="0023363F" w:rsidRDefault="0023363F" w:rsidP="00BA7D20">
      <w:pPr>
        <w:pStyle w:val="Voetnoottekst"/>
        <w:jc w:val="both"/>
        <w:rPr>
          <w:i/>
          <w:iCs/>
        </w:rPr>
      </w:pPr>
      <w:r>
        <w:rPr>
          <w:rStyle w:val="Voetnootmarkering"/>
        </w:rPr>
        <w:footnoteRef/>
      </w:r>
      <w:r>
        <w:t xml:space="preserve"> </w:t>
      </w:r>
      <w:r>
        <w:rPr>
          <w:i/>
          <w:iCs/>
        </w:rPr>
        <w:t>Ibid.</w:t>
      </w:r>
    </w:p>
  </w:footnote>
  <w:footnote w:id="18">
    <w:p w14:paraId="21306731" w14:textId="7C76EA92" w:rsidR="006D095B" w:rsidRDefault="006D095B" w:rsidP="00BA7D20">
      <w:pPr>
        <w:pStyle w:val="Voetnoottekst"/>
        <w:jc w:val="both"/>
      </w:pPr>
      <w:r>
        <w:rPr>
          <w:rStyle w:val="Voetnootmarkering"/>
        </w:rPr>
        <w:footnoteRef/>
      </w:r>
      <w:r>
        <w:t xml:space="preserve"> </w:t>
      </w:r>
      <w:r>
        <w:rPr>
          <w:lang w:val="nl-NL"/>
        </w:rPr>
        <w:t>Wetsontwerp houdende diverse bepalingen inzake burgerlijk recht en houdende wijziging van het Gerechtelijk Wetboek met het oog op de bevordering van alternatieve vormen van geschillenoplossing, KAMER, 2017-2018, 5 februari 2018, nr. 54-2919/1, 137.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17E2" w14:textId="26B9BB4B" w:rsidR="00230428" w:rsidRPr="005A0337" w:rsidRDefault="00230428">
    <w:pPr>
      <w:rPr>
        <w:lang w:val="en-US"/>
      </w:rP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6799" w14:textId="358E3345" w:rsidR="00DA1AF7" w:rsidRDefault="00756252">
    <w:pPr>
      <w:pStyle w:val="Koptekst"/>
    </w:pPr>
    <w:r>
      <w:t>OPF Kluwer</w:t>
    </w:r>
    <w:r w:rsidR="00DA1AF7">
      <w:tab/>
    </w:r>
    <w:r w:rsidR="00DA1AF7">
      <w:tab/>
      <w:t>Amber Jans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BFD"/>
    <w:multiLevelType w:val="hybridMultilevel"/>
    <w:tmpl w:val="B9F8EF8A"/>
    <w:lvl w:ilvl="0" w:tplc="688AF9A4">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6A0B9C"/>
    <w:multiLevelType w:val="hybridMultilevel"/>
    <w:tmpl w:val="462A329C"/>
    <w:lvl w:ilvl="0" w:tplc="F9A4C24E">
      <w:start w:val="1"/>
      <w:numFmt w:val="bullet"/>
      <w:lvlText w:val="•"/>
      <w:lvlJc w:val="left"/>
      <w:pPr>
        <w:tabs>
          <w:tab w:val="num" w:pos="720"/>
        </w:tabs>
        <w:ind w:left="720" w:hanging="360"/>
      </w:pPr>
      <w:rPr>
        <w:rFonts w:ascii="Arial" w:hAnsi="Arial" w:hint="default"/>
      </w:rPr>
    </w:lvl>
    <w:lvl w:ilvl="1" w:tplc="D40A021E">
      <w:start w:val="1"/>
      <w:numFmt w:val="bullet"/>
      <w:lvlText w:val="•"/>
      <w:lvlJc w:val="left"/>
      <w:pPr>
        <w:tabs>
          <w:tab w:val="num" w:pos="1440"/>
        </w:tabs>
        <w:ind w:left="1440" w:hanging="360"/>
      </w:pPr>
      <w:rPr>
        <w:rFonts w:ascii="Arial" w:hAnsi="Arial" w:hint="default"/>
      </w:rPr>
    </w:lvl>
    <w:lvl w:ilvl="2" w:tplc="9020A9A4" w:tentative="1">
      <w:start w:val="1"/>
      <w:numFmt w:val="bullet"/>
      <w:lvlText w:val="•"/>
      <w:lvlJc w:val="left"/>
      <w:pPr>
        <w:tabs>
          <w:tab w:val="num" w:pos="2160"/>
        </w:tabs>
        <w:ind w:left="2160" w:hanging="360"/>
      </w:pPr>
      <w:rPr>
        <w:rFonts w:ascii="Arial" w:hAnsi="Arial" w:hint="default"/>
      </w:rPr>
    </w:lvl>
    <w:lvl w:ilvl="3" w:tplc="880CD5A0" w:tentative="1">
      <w:start w:val="1"/>
      <w:numFmt w:val="bullet"/>
      <w:lvlText w:val="•"/>
      <w:lvlJc w:val="left"/>
      <w:pPr>
        <w:tabs>
          <w:tab w:val="num" w:pos="2880"/>
        </w:tabs>
        <w:ind w:left="2880" w:hanging="360"/>
      </w:pPr>
      <w:rPr>
        <w:rFonts w:ascii="Arial" w:hAnsi="Arial" w:hint="default"/>
      </w:rPr>
    </w:lvl>
    <w:lvl w:ilvl="4" w:tplc="D78C9CC0" w:tentative="1">
      <w:start w:val="1"/>
      <w:numFmt w:val="bullet"/>
      <w:lvlText w:val="•"/>
      <w:lvlJc w:val="left"/>
      <w:pPr>
        <w:tabs>
          <w:tab w:val="num" w:pos="3600"/>
        </w:tabs>
        <w:ind w:left="3600" w:hanging="360"/>
      </w:pPr>
      <w:rPr>
        <w:rFonts w:ascii="Arial" w:hAnsi="Arial" w:hint="default"/>
      </w:rPr>
    </w:lvl>
    <w:lvl w:ilvl="5" w:tplc="06C2C044" w:tentative="1">
      <w:start w:val="1"/>
      <w:numFmt w:val="bullet"/>
      <w:lvlText w:val="•"/>
      <w:lvlJc w:val="left"/>
      <w:pPr>
        <w:tabs>
          <w:tab w:val="num" w:pos="4320"/>
        </w:tabs>
        <w:ind w:left="4320" w:hanging="360"/>
      </w:pPr>
      <w:rPr>
        <w:rFonts w:ascii="Arial" w:hAnsi="Arial" w:hint="default"/>
      </w:rPr>
    </w:lvl>
    <w:lvl w:ilvl="6" w:tplc="786EAED8" w:tentative="1">
      <w:start w:val="1"/>
      <w:numFmt w:val="bullet"/>
      <w:lvlText w:val="•"/>
      <w:lvlJc w:val="left"/>
      <w:pPr>
        <w:tabs>
          <w:tab w:val="num" w:pos="5040"/>
        </w:tabs>
        <w:ind w:left="5040" w:hanging="360"/>
      </w:pPr>
      <w:rPr>
        <w:rFonts w:ascii="Arial" w:hAnsi="Arial" w:hint="default"/>
      </w:rPr>
    </w:lvl>
    <w:lvl w:ilvl="7" w:tplc="35B6F5D6" w:tentative="1">
      <w:start w:val="1"/>
      <w:numFmt w:val="bullet"/>
      <w:lvlText w:val="•"/>
      <w:lvlJc w:val="left"/>
      <w:pPr>
        <w:tabs>
          <w:tab w:val="num" w:pos="5760"/>
        </w:tabs>
        <w:ind w:left="5760" w:hanging="360"/>
      </w:pPr>
      <w:rPr>
        <w:rFonts w:ascii="Arial" w:hAnsi="Arial" w:hint="default"/>
      </w:rPr>
    </w:lvl>
    <w:lvl w:ilvl="8" w:tplc="9894F48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8B1C15"/>
    <w:multiLevelType w:val="hybridMultilevel"/>
    <w:tmpl w:val="08C021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A249C6"/>
    <w:multiLevelType w:val="hybridMultilevel"/>
    <w:tmpl w:val="DE4CC7C4"/>
    <w:lvl w:ilvl="0" w:tplc="8F48229E">
      <w:start w:val="1"/>
      <w:numFmt w:val="upperLetter"/>
      <w:pStyle w:val="Kop2"/>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4533FA0"/>
    <w:multiLevelType w:val="hybridMultilevel"/>
    <w:tmpl w:val="52109AB2"/>
    <w:lvl w:ilvl="0" w:tplc="C1767508">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5A01764"/>
    <w:multiLevelType w:val="hybridMultilevel"/>
    <w:tmpl w:val="553EA0B6"/>
    <w:lvl w:ilvl="0" w:tplc="0CF8DBF8">
      <w:start w:val="1"/>
      <w:numFmt w:val="decimal"/>
      <w:lvlText w:val="%1."/>
      <w:lvlJc w:val="left"/>
      <w:pPr>
        <w:ind w:left="360" w:hanging="360"/>
      </w:pPr>
      <w:rPr>
        <w:rFonts w:hint="default"/>
        <w:b/>
        <w:bCs/>
        <w:i w:val="0"/>
        <w:iCs/>
        <w:strike w:val="0"/>
        <w:color w:val="auto"/>
        <w:sz w:val="22"/>
        <w:szCs w:val="22"/>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8B2095"/>
    <w:multiLevelType w:val="hybridMultilevel"/>
    <w:tmpl w:val="27BE061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D778B3FE">
      <w:start w:val="1"/>
      <w:numFmt w:val="bullet"/>
      <w:lvlText w:val="◊"/>
      <w:lvlJc w:val="left"/>
      <w:pPr>
        <w:ind w:left="2880" w:hanging="360"/>
      </w:pPr>
      <w:rPr>
        <w:rFonts w:ascii="Calibri" w:hAnsi="Calibr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40D1D5B"/>
    <w:multiLevelType w:val="hybridMultilevel"/>
    <w:tmpl w:val="34585DD8"/>
    <w:lvl w:ilvl="0" w:tplc="DD6E77D2">
      <w:start w:val="1"/>
      <w:numFmt w:val="upp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8" w15:restartNumberingAfterBreak="0">
    <w:nsid w:val="362205DF"/>
    <w:multiLevelType w:val="hybridMultilevel"/>
    <w:tmpl w:val="B87C114A"/>
    <w:lvl w:ilvl="0" w:tplc="7D909A22">
      <w:start w:val="12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B0C03DB"/>
    <w:multiLevelType w:val="hybridMultilevel"/>
    <w:tmpl w:val="3A44946C"/>
    <w:lvl w:ilvl="0" w:tplc="08130019">
      <w:start w:val="1"/>
      <w:numFmt w:val="lowerLetter"/>
      <w:lvlText w:val="%1."/>
      <w:lvlJc w:val="left"/>
      <w:pPr>
        <w:ind w:left="1636" w:hanging="360"/>
      </w:p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0" w15:restartNumberingAfterBreak="0">
    <w:nsid w:val="41064EAC"/>
    <w:multiLevelType w:val="hybridMultilevel"/>
    <w:tmpl w:val="AE30DB06"/>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B901A42"/>
    <w:multiLevelType w:val="hybridMultilevel"/>
    <w:tmpl w:val="ABBA996A"/>
    <w:lvl w:ilvl="0" w:tplc="7D909A22">
      <w:start w:val="12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30E79FC"/>
    <w:multiLevelType w:val="hybridMultilevel"/>
    <w:tmpl w:val="37A072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31D3D46"/>
    <w:multiLevelType w:val="hybridMultilevel"/>
    <w:tmpl w:val="7D9419DC"/>
    <w:lvl w:ilvl="0" w:tplc="7102B1D4">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42D04E5"/>
    <w:multiLevelType w:val="hybridMultilevel"/>
    <w:tmpl w:val="C6540D5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5F9768B"/>
    <w:multiLevelType w:val="hybridMultilevel"/>
    <w:tmpl w:val="3A44946C"/>
    <w:lvl w:ilvl="0" w:tplc="08130019">
      <w:start w:val="1"/>
      <w:numFmt w:val="lowerLetter"/>
      <w:lvlText w:val="%1."/>
      <w:lvlJc w:val="left"/>
      <w:pPr>
        <w:ind w:left="1636" w:hanging="360"/>
      </w:p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6" w15:restartNumberingAfterBreak="0">
    <w:nsid w:val="5C9468F4"/>
    <w:multiLevelType w:val="hybridMultilevel"/>
    <w:tmpl w:val="89B66C2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9">
      <w:start w:val="1"/>
      <w:numFmt w:val="lowerLetter"/>
      <w:lvlText w:val="%3."/>
      <w:lvlJc w:val="left"/>
      <w:pPr>
        <w:ind w:left="1456"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42765A5"/>
    <w:multiLevelType w:val="hybridMultilevel"/>
    <w:tmpl w:val="2444C2EE"/>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CEC660A"/>
    <w:multiLevelType w:val="hybridMultilevel"/>
    <w:tmpl w:val="CF685B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03A3FE7"/>
    <w:multiLevelType w:val="hybridMultilevel"/>
    <w:tmpl w:val="A9661732"/>
    <w:lvl w:ilvl="0" w:tplc="D90081DC">
      <w:start w:val="1"/>
      <w:numFmt w:val="upperRoman"/>
      <w:lvlText w:val="%1."/>
      <w:lvlJc w:val="left"/>
      <w:pPr>
        <w:ind w:left="720" w:hanging="720"/>
      </w:pPr>
      <w:rPr>
        <w:rFonts w:hint="default"/>
      </w:rPr>
    </w:lvl>
    <w:lvl w:ilvl="1" w:tplc="08130015">
      <w:start w:val="1"/>
      <w:numFmt w:val="upperLetter"/>
      <w:lvlText w:val="%2."/>
      <w:lvlJc w:val="left"/>
      <w:pPr>
        <w:ind w:left="1069"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1494F6A"/>
    <w:multiLevelType w:val="hybridMultilevel"/>
    <w:tmpl w:val="AFC6AE1E"/>
    <w:lvl w:ilvl="0" w:tplc="D97035B2">
      <w:start w:val="1"/>
      <w:numFmt w:val="lowerLetter"/>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58A125F"/>
    <w:multiLevelType w:val="hybridMultilevel"/>
    <w:tmpl w:val="857E9968"/>
    <w:lvl w:ilvl="0" w:tplc="F0769F30">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9BA307A"/>
    <w:multiLevelType w:val="hybridMultilevel"/>
    <w:tmpl w:val="DA4C223C"/>
    <w:lvl w:ilvl="0" w:tplc="D8DE357E">
      <w:start w:val="1"/>
      <w:numFmt w:val="upperRoman"/>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6"/>
  </w:num>
  <w:num w:numId="2">
    <w:abstractNumId w:val="18"/>
  </w:num>
  <w:num w:numId="3">
    <w:abstractNumId w:val="1"/>
  </w:num>
  <w:num w:numId="4">
    <w:abstractNumId w:val="22"/>
  </w:num>
  <w:num w:numId="5">
    <w:abstractNumId w:val="3"/>
  </w:num>
  <w:num w:numId="6">
    <w:abstractNumId w:val="17"/>
  </w:num>
  <w:num w:numId="7">
    <w:abstractNumId w:val="20"/>
  </w:num>
  <w:num w:numId="8">
    <w:abstractNumId w:val="12"/>
  </w:num>
  <w:num w:numId="9">
    <w:abstractNumId w:val="21"/>
  </w:num>
  <w:num w:numId="10">
    <w:abstractNumId w:val="0"/>
  </w:num>
  <w:num w:numId="11">
    <w:abstractNumId w:val="5"/>
  </w:num>
  <w:num w:numId="12">
    <w:abstractNumId w:val="2"/>
  </w:num>
  <w:num w:numId="13">
    <w:abstractNumId w:val="16"/>
  </w:num>
  <w:num w:numId="14">
    <w:abstractNumId w:val="19"/>
  </w:num>
  <w:num w:numId="15">
    <w:abstractNumId w:val="10"/>
  </w:num>
  <w:num w:numId="16">
    <w:abstractNumId w:val="14"/>
  </w:num>
  <w:num w:numId="17">
    <w:abstractNumId w:val="4"/>
  </w:num>
  <w:num w:numId="18">
    <w:abstractNumId w:val="9"/>
  </w:num>
  <w:num w:numId="19">
    <w:abstractNumId w:val="15"/>
  </w:num>
  <w:num w:numId="20">
    <w:abstractNumId w:val="13"/>
  </w:num>
  <w:num w:numId="21">
    <w:abstractNumId w:val="11"/>
  </w:num>
  <w:num w:numId="22">
    <w:abstractNumId w:val="8"/>
  </w:num>
  <w:num w:numId="23">
    <w:abstractNumId w:val="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num>
  <w:num w:numId="2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7E2"/>
    <w:rsid w:val="0000182B"/>
    <w:rsid w:val="00003042"/>
    <w:rsid w:val="00003AFF"/>
    <w:rsid w:val="00017BBE"/>
    <w:rsid w:val="00021FFE"/>
    <w:rsid w:val="00026F03"/>
    <w:rsid w:val="000410DE"/>
    <w:rsid w:val="00052FA9"/>
    <w:rsid w:val="00060586"/>
    <w:rsid w:val="000754C9"/>
    <w:rsid w:val="00075B89"/>
    <w:rsid w:val="00077C6C"/>
    <w:rsid w:val="00080285"/>
    <w:rsid w:val="000837C0"/>
    <w:rsid w:val="000975A0"/>
    <w:rsid w:val="000A0A17"/>
    <w:rsid w:val="000B54FC"/>
    <w:rsid w:val="000D3E33"/>
    <w:rsid w:val="000E5168"/>
    <w:rsid w:val="001037FE"/>
    <w:rsid w:val="001046C5"/>
    <w:rsid w:val="0010494E"/>
    <w:rsid w:val="0011284D"/>
    <w:rsid w:val="00114701"/>
    <w:rsid w:val="00121090"/>
    <w:rsid w:val="00122D7E"/>
    <w:rsid w:val="00124499"/>
    <w:rsid w:val="00124B5F"/>
    <w:rsid w:val="0012725C"/>
    <w:rsid w:val="001306B9"/>
    <w:rsid w:val="00142D94"/>
    <w:rsid w:val="001530AD"/>
    <w:rsid w:val="001554AC"/>
    <w:rsid w:val="00156E0C"/>
    <w:rsid w:val="001570B5"/>
    <w:rsid w:val="00161BB3"/>
    <w:rsid w:val="00167D37"/>
    <w:rsid w:val="00174058"/>
    <w:rsid w:val="00175890"/>
    <w:rsid w:val="00175B6C"/>
    <w:rsid w:val="001829C0"/>
    <w:rsid w:val="0019240C"/>
    <w:rsid w:val="00196244"/>
    <w:rsid w:val="001A2DCC"/>
    <w:rsid w:val="001A42D4"/>
    <w:rsid w:val="001B4122"/>
    <w:rsid w:val="001B6A4B"/>
    <w:rsid w:val="001E4186"/>
    <w:rsid w:val="001F16F0"/>
    <w:rsid w:val="001F45C4"/>
    <w:rsid w:val="001F5A02"/>
    <w:rsid w:val="00206C0A"/>
    <w:rsid w:val="0022143F"/>
    <w:rsid w:val="002214F0"/>
    <w:rsid w:val="00230428"/>
    <w:rsid w:val="0023363F"/>
    <w:rsid w:val="00233AC2"/>
    <w:rsid w:val="0023460B"/>
    <w:rsid w:val="00234D36"/>
    <w:rsid w:val="00250C24"/>
    <w:rsid w:val="00256C39"/>
    <w:rsid w:val="00256E07"/>
    <w:rsid w:val="00257330"/>
    <w:rsid w:val="00264689"/>
    <w:rsid w:val="00266A0D"/>
    <w:rsid w:val="00272028"/>
    <w:rsid w:val="002743FC"/>
    <w:rsid w:val="002761CE"/>
    <w:rsid w:val="00280666"/>
    <w:rsid w:val="00283440"/>
    <w:rsid w:val="00297099"/>
    <w:rsid w:val="002B7F62"/>
    <w:rsid w:val="002D1698"/>
    <w:rsid w:val="002D76F5"/>
    <w:rsid w:val="002E04A2"/>
    <w:rsid w:val="002E104F"/>
    <w:rsid w:val="002E17CD"/>
    <w:rsid w:val="002E1DA8"/>
    <w:rsid w:val="002E64FF"/>
    <w:rsid w:val="002F7284"/>
    <w:rsid w:val="00305AAE"/>
    <w:rsid w:val="00312C4B"/>
    <w:rsid w:val="003132EF"/>
    <w:rsid w:val="0032266B"/>
    <w:rsid w:val="003344AD"/>
    <w:rsid w:val="00337CA6"/>
    <w:rsid w:val="003423F5"/>
    <w:rsid w:val="00343925"/>
    <w:rsid w:val="0035411E"/>
    <w:rsid w:val="00377665"/>
    <w:rsid w:val="0038099D"/>
    <w:rsid w:val="00386382"/>
    <w:rsid w:val="00386A15"/>
    <w:rsid w:val="003A474D"/>
    <w:rsid w:val="003A7EB4"/>
    <w:rsid w:val="003C6C24"/>
    <w:rsid w:val="003C70C0"/>
    <w:rsid w:val="003D2F51"/>
    <w:rsid w:val="003D3CC1"/>
    <w:rsid w:val="003D7E97"/>
    <w:rsid w:val="003F05FF"/>
    <w:rsid w:val="00400426"/>
    <w:rsid w:val="00403164"/>
    <w:rsid w:val="0042536D"/>
    <w:rsid w:val="004315DA"/>
    <w:rsid w:val="004465B9"/>
    <w:rsid w:val="0045102E"/>
    <w:rsid w:val="00455816"/>
    <w:rsid w:val="00456257"/>
    <w:rsid w:val="00460009"/>
    <w:rsid w:val="004621C9"/>
    <w:rsid w:val="00463D5C"/>
    <w:rsid w:val="00470827"/>
    <w:rsid w:val="0048233B"/>
    <w:rsid w:val="00487E9F"/>
    <w:rsid w:val="004A4E84"/>
    <w:rsid w:val="004B08E8"/>
    <w:rsid w:val="004B14B5"/>
    <w:rsid w:val="004B4CB9"/>
    <w:rsid w:val="004B6401"/>
    <w:rsid w:val="004B7AF4"/>
    <w:rsid w:val="004C1506"/>
    <w:rsid w:val="004C5676"/>
    <w:rsid w:val="004C5A26"/>
    <w:rsid w:val="004C69EB"/>
    <w:rsid w:val="004D2B7D"/>
    <w:rsid w:val="004D4406"/>
    <w:rsid w:val="004D610E"/>
    <w:rsid w:val="004E16C4"/>
    <w:rsid w:val="004E5CBB"/>
    <w:rsid w:val="004F0239"/>
    <w:rsid w:val="004F245A"/>
    <w:rsid w:val="00503B54"/>
    <w:rsid w:val="00504B86"/>
    <w:rsid w:val="00505058"/>
    <w:rsid w:val="0050565F"/>
    <w:rsid w:val="00511C8A"/>
    <w:rsid w:val="00514DA6"/>
    <w:rsid w:val="005159E4"/>
    <w:rsid w:val="00560037"/>
    <w:rsid w:val="00576F62"/>
    <w:rsid w:val="00582D66"/>
    <w:rsid w:val="005868B7"/>
    <w:rsid w:val="0059628D"/>
    <w:rsid w:val="005A0337"/>
    <w:rsid w:val="005A73F3"/>
    <w:rsid w:val="005D54A7"/>
    <w:rsid w:val="005D7333"/>
    <w:rsid w:val="005E753E"/>
    <w:rsid w:val="005E7777"/>
    <w:rsid w:val="005F3A12"/>
    <w:rsid w:val="005F3CD8"/>
    <w:rsid w:val="006050B7"/>
    <w:rsid w:val="00605B89"/>
    <w:rsid w:val="00611842"/>
    <w:rsid w:val="00613D3B"/>
    <w:rsid w:val="00616E4B"/>
    <w:rsid w:val="00626008"/>
    <w:rsid w:val="00626E24"/>
    <w:rsid w:val="00632297"/>
    <w:rsid w:val="00633B82"/>
    <w:rsid w:val="00633ECB"/>
    <w:rsid w:val="00635CB4"/>
    <w:rsid w:val="00636649"/>
    <w:rsid w:val="00641A9A"/>
    <w:rsid w:val="00641DC0"/>
    <w:rsid w:val="006422F3"/>
    <w:rsid w:val="00642B88"/>
    <w:rsid w:val="006467E2"/>
    <w:rsid w:val="00650CC4"/>
    <w:rsid w:val="00654D91"/>
    <w:rsid w:val="00657B8D"/>
    <w:rsid w:val="00671530"/>
    <w:rsid w:val="00672A80"/>
    <w:rsid w:val="0068400D"/>
    <w:rsid w:val="00693C29"/>
    <w:rsid w:val="00696867"/>
    <w:rsid w:val="006A6CF5"/>
    <w:rsid w:val="006A778E"/>
    <w:rsid w:val="006B045B"/>
    <w:rsid w:val="006B188A"/>
    <w:rsid w:val="006B3B0B"/>
    <w:rsid w:val="006B4D1A"/>
    <w:rsid w:val="006C5168"/>
    <w:rsid w:val="006C60D0"/>
    <w:rsid w:val="006C7BA3"/>
    <w:rsid w:val="006D095B"/>
    <w:rsid w:val="006F64F1"/>
    <w:rsid w:val="00700448"/>
    <w:rsid w:val="00720AE8"/>
    <w:rsid w:val="007259BB"/>
    <w:rsid w:val="00741B91"/>
    <w:rsid w:val="00742F3D"/>
    <w:rsid w:val="007476D2"/>
    <w:rsid w:val="0075358E"/>
    <w:rsid w:val="00756252"/>
    <w:rsid w:val="00762A71"/>
    <w:rsid w:val="0077019E"/>
    <w:rsid w:val="00772D89"/>
    <w:rsid w:val="007732B2"/>
    <w:rsid w:val="00777B80"/>
    <w:rsid w:val="00782C75"/>
    <w:rsid w:val="007863F2"/>
    <w:rsid w:val="00793A90"/>
    <w:rsid w:val="00794DAA"/>
    <w:rsid w:val="00796514"/>
    <w:rsid w:val="007A15F1"/>
    <w:rsid w:val="007A3163"/>
    <w:rsid w:val="007B0F0D"/>
    <w:rsid w:val="007B461A"/>
    <w:rsid w:val="007C1A20"/>
    <w:rsid w:val="007C25D3"/>
    <w:rsid w:val="007C75AE"/>
    <w:rsid w:val="007D18DE"/>
    <w:rsid w:val="007E311A"/>
    <w:rsid w:val="007F13C8"/>
    <w:rsid w:val="00800978"/>
    <w:rsid w:val="008026CB"/>
    <w:rsid w:val="008035CE"/>
    <w:rsid w:val="00804E20"/>
    <w:rsid w:val="008149CF"/>
    <w:rsid w:val="00822E52"/>
    <w:rsid w:val="0082555A"/>
    <w:rsid w:val="0083056F"/>
    <w:rsid w:val="00832248"/>
    <w:rsid w:val="00835F4D"/>
    <w:rsid w:val="008436B8"/>
    <w:rsid w:val="00844AC6"/>
    <w:rsid w:val="008534B6"/>
    <w:rsid w:val="00854275"/>
    <w:rsid w:val="0085476E"/>
    <w:rsid w:val="00860E90"/>
    <w:rsid w:val="008675D1"/>
    <w:rsid w:val="00882CD2"/>
    <w:rsid w:val="00892B33"/>
    <w:rsid w:val="008A3E97"/>
    <w:rsid w:val="008A43A8"/>
    <w:rsid w:val="008B3B79"/>
    <w:rsid w:val="008B50F3"/>
    <w:rsid w:val="008D1DBC"/>
    <w:rsid w:val="008D5D33"/>
    <w:rsid w:val="008E47FD"/>
    <w:rsid w:val="008E53FF"/>
    <w:rsid w:val="0090645B"/>
    <w:rsid w:val="00906FDB"/>
    <w:rsid w:val="00921FA3"/>
    <w:rsid w:val="0092458A"/>
    <w:rsid w:val="00924F26"/>
    <w:rsid w:val="00925735"/>
    <w:rsid w:val="00927FD2"/>
    <w:rsid w:val="00940A7C"/>
    <w:rsid w:val="00941DE3"/>
    <w:rsid w:val="0094443C"/>
    <w:rsid w:val="00946940"/>
    <w:rsid w:val="00947475"/>
    <w:rsid w:val="00955BA5"/>
    <w:rsid w:val="00962641"/>
    <w:rsid w:val="00966AF9"/>
    <w:rsid w:val="00970E9B"/>
    <w:rsid w:val="009A41CA"/>
    <w:rsid w:val="009B73DD"/>
    <w:rsid w:val="009B7533"/>
    <w:rsid w:val="009C109A"/>
    <w:rsid w:val="009D1957"/>
    <w:rsid w:val="009F5A23"/>
    <w:rsid w:val="00A06D0F"/>
    <w:rsid w:val="00A07F3E"/>
    <w:rsid w:val="00A100D8"/>
    <w:rsid w:val="00A11688"/>
    <w:rsid w:val="00A150FA"/>
    <w:rsid w:val="00A160DA"/>
    <w:rsid w:val="00A16631"/>
    <w:rsid w:val="00A21F01"/>
    <w:rsid w:val="00A22199"/>
    <w:rsid w:val="00A313A0"/>
    <w:rsid w:val="00A33FB3"/>
    <w:rsid w:val="00A34D51"/>
    <w:rsid w:val="00A41620"/>
    <w:rsid w:val="00A471B2"/>
    <w:rsid w:val="00A50376"/>
    <w:rsid w:val="00A54C8F"/>
    <w:rsid w:val="00A55AA7"/>
    <w:rsid w:val="00A570A0"/>
    <w:rsid w:val="00A66F48"/>
    <w:rsid w:val="00A72DE2"/>
    <w:rsid w:val="00A8018F"/>
    <w:rsid w:val="00A81F42"/>
    <w:rsid w:val="00A83722"/>
    <w:rsid w:val="00A876C7"/>
    <w:rsid w:val="00AA5FE4"/>
    <w:rsid w:val="00AB7C23"/>
    <w:rsid w:val="00AD5715"/>
    <w:rsid w:val="00AE6D37"/>
    <w:rsid w:val="00AF04A4"/>
    <w:rsid w:val="00AF0742"/>
    <w:rsid w:val="00AF0E45"/>
    <w:rsid w:val="00AF4208"/>
    <w:rsid w:val="00B111CC"/>
    <w:rsid w:val="00B1381B"/>
    <w:rsid w:val="00B23EDC"/>
    <w:rsid w:val="00B30105"/>
    <w:rsid w:val="00B304CE"/>
    <w:rsid w:val="00B3362E"/>
    <w:rsid w:val="00B407E4"/>
    <w:rsid w:val="00B43069"/>
    <w:rsid w:val="00B43D39"/>
    <w:rsid w:val="00B445B5"/>
    <w:rsid w:val="00B462BC"/>
    <w:rsid w:val="00B644BC"/>
    <w:rsid w:val="00B663CA"/>
    <w:rsid w:val="00B855E6"/>
    <w:rsid w:val="00B95CAA"/>
    <w:rsid w:val="00BA1948"/>
    <w:rsid w:val="00BA2024"/>
    <w:rsid w:val="00BA3632"/>
    <w:rsid w:val="00BA3A54"/>
    <w:rsid w:val="00BA7D20"/>
    <w:rsid w:val="00BC0AF6"/>
    <w:rsid w:val="00BD0B5E"/>
    <w:rsid w:val="00BD1CEC"/>
    <w:rsid w:val="00BD6563"/>
    <w:rsid w:val="00BE0EE8"/>
    <w:rsid w:val="00BF01D8"/>
    <w:rsid w:val="00BF3FF7"/>
    <w:rsid w:val="00BF6C5C"/>
    <w:rsid w:val="00C00822"/>
    <w:rsid w:val="00C04811"/>
    <w:rsid w:val="00C13E99"/>
    <w:rsid w:val="00C14149"/>
    <w:rsid w:val="00C220B8"/>
    <w:rsid w:val="00C240FD"/>
    <w:rsid w:val="00C2435B"/>
    <w:rsid w:val="00C30D4C"/>
    <w:rsid w:val="00C418F9"/>
    <w:rsid w:val="00C42879"/>
    <w:rsid w:val="00C56E13"/>
    <w:rsid w:val="00C57C50"/>
    <w:rsid w:val="00C611EB"/>
    <w:rsid w:val="00C623B8"/>
    <w:rsid w:val="00C72DE4"/>
    <w:rsid w:val="00C73F8E"/>
    <w:rsid w:val="00C75322"/>
    <w:rsid w:val="00C773F1"/>
    <w:rsid w:val="00C824A7"/>
    <w:rsid w:val="00C9016B"/>
    <w:rsid w:val="00C90E5A"/>
    <w:rsid w:val="00CA004F"/>
    <w:rsid w:val="00CA441E"/>
    <w:rsid w:val="00CA7D9F"/>
    <w:rsid w:val="00CB63DF"/>
    <w:rsid w:val="00CB65C2"/>
    <w:rsid w:val="00CC1362"/>
    <w:rsid w:val="00CC2884"/>
    <w:rsid w:val="00CD1A67"/>
    <w:rsid w:val="00CE32D5"/>
    <w:rsid w:val="00CF6DD7"/>
    <w:rsid w:val="00D07927"/>
    <w:rsid w:val="00D07AB3"/>
    <w:rsid w:val="00D176F6"/>
    <w:rsid w:val="00D22071"/>
    <w:rsid w:val="00D32A49"/>
    <w:rsid w:val="00D45D40"/>
    <w:rsid w:val="00D46E74"/>
    <w:rsid w:val="00D63BB4"/>
    <w:rsid w:val="00D64463"/>
    <w:rsid w:val="00D85703"/>
    <w:rsid w:val="00DA1AF7"/>
    <w:rsid w:val="00DA3598"/>
    <w:rsid w:val="00DA3878"/>
    <w:rsid w:val="00DA663D"/>
    <w:rsid w:val="00DB3F4B"/>
    <w:rsid w:val="00DD04CD"/>
    <w:rsid w:val="00DD1182"/>
    <w:rsid w:val="00DE7CF8"/>
    <w:rsid w:val="00DF4007"/>
    <w:rsid w:val="00E00B72"/>
    <w:rsid w:val="00E07952"/>
    <w:rsid w:val="00E12EE4"/>
    <w:rsid w:val="00E13617"/>
    <w:rsid w:val="00E213E5"/>
    <w:rsid w:val="00E22755"/>
    <w:rsid w:val="00E230A6"/>
    <w:rsid w:val="00E24AC4"/>
    <w:rsid w:val="00E25CBA"/>
    <w:rsid w:val="00E27B24"/>
    <w:rsid w:val="00E3487F"/>
    <w:rsid w:val="00E36426"/>
    <w:rsid w:val="00E40417"/>
    <w:rsid w:val="00E423DA"/>
    <w:rsid w:val="00E6011B"/>
    <w:rsid w:val="00E62CC8"/>
    <w:rsid w:val="00E74FAE"/>
    <w:rsid w:val="00E8039C"/>
    <w:rsid w:val="00E82133"/>
    <w:rsid w:val="00E9195C"/>
    <w:rsid w:val="00E92D3C"/>
    <w:rsid w:val="00EA04F2"/>
    <w:rsid w:val="00EA0CA6"/>
    <w:rsid w:val="00EA6B50"/>
    <w:rsid w:val="00EA6B99"/>
    <w:rsid w:val="00EB064D"/>
    <w:rsid w:val="00EB372C"/>
    <w:rsid w:val="00EB68A4"/>
    <w:rsid w:val="00EC11BF"/>
    <w:rsid w:val="00EC1C6E"/>
    <w:rsid w:val="00EC1E52"/>
    <w:rsid w:val="00EC4EEB"/>
    <w:rsid w:val="00EC663E"/>
    <w:rsid w:val="00EC7CCC"/>
    <w:rsid w:val="00ED4697"/>
    <w:rsid w:val="00ED7E2C"/>
    <w:rsid w:val="00EE23EA"/>
    <w:rsid w:val="00EF1D4F"/>
    <w:rsid w:val="00EF3A22"/>
    <w:rsid w:val="00F052DB"/>
    <w:rsid w:val="00F05E92"/>
    <w:rsid w:val="00F06F73"/>
    <w:rsid w:val="00F071C2"/>
    <w:rsid w:val="00F12597"/>
    <w:rsid w:val="00F1698E"/>
    <w:rsid w:val="00F21F2A"/>
    <w:rsid w:val="00F230D9"/>
    <w:rsid w:val="00F257E8"/>
    <w:rsid w:val="00F264A6"/>
    <w:rsid w:val="00F344AB"/>
    <w:rsid w:val="00F46F2D"/>
    <w:rsid w:val="00F528FC"/>
    <w:rsid w:val="00F65310"/>
    <w:rsid w:val="00F6669A"/>
    <w:rsid w:val="00F66BC7"/>
    <w:rsid w:val="00F67A04"/>
    <w:rsid w:val="00F84216"/>
    <w:rsid w:val="00F87502"/>
    <w:rsid w:val="00F913AA"/>
    <w:rsid w:val="00F91EFB"/>
    <w:rsid w:val="00FA20BF"/>
    <w:rsid w:val="00FA6BD7"/>
    <w:rsid w:val="00FC0A09"/>
    <w:rsid w:val="00FD63C9"/>
    <w:rsid w:val="00FD67E2"/>
    <w:rsid w:val="00FE7BAB"/>
    <w:rsid w:val="00FF0298"/>
    <w:rsid w:val="00FF3500"/>
    <w:rsid w:val="00FF79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FC9E6"/>
  <w15:chartTrackingRefBased/>
  <w15:docId w15:val="{E489FBD3-89DC-4C20-BC92-9DC60630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4186"/>
    <w:pPr>
      <w:spacing w:after="0" w:line="240" w:lineRule="auto"/>
    </w:pPr>
  </w:style>
  <w:style w:type="paragraph" w:styleId="Kop1">
    <w:name w:val="heading 1"/>
    <w:basedOn w:val="Standaard"/>
    <w:next w:val="Standaard"/>
    <w:link w:val="Kop1Char"/>
    <w:uiPriority w:val="9"/>
    <w:qFormat/>
    <w:rsid w:val="00D64463"/>
    <w:pPr>
      <w:keepNext/>
      <w:keepLines/>
      <w:numPr>
        <w:numId w:val="4"/>
      </w:numPr>
      <w:spacing w:before="240" w:after="240"/>
      <w:outlineLvl w:val="0"/>
    </w:pPr>
    <w:rPr>
      <w:rFonts w:ascii="Calibri" w:eastAsiaTheme="majorEastAsia" w:hAnsi="Calibri" w:cstheme="majorBidi"/>
      <w:b/>
      <w:sz w:val="30"/>
      <w:szCs w:val="32"/>
    </w:rPr>
  </w:style>
  <w:style w:type="paragraph" w:styleId="Kop2">
    <w:name w:val="heading 2"/>
    <w:basedOn w:val="Standaard"/>
    <w:next w:val="Standaard"/>
    <w:link w:val="Kop2Char"/>
    <w:autoRedefine/>
    <w:uiPriority w:val="9"/>
    <w:unhideWhenUsed/>
    <w:qFormat/>
    <w:rsid w:val="00E22755"/>
    <w:pPr>
      <w:keepNext/>
      <w:keepLines/>
      <w:numPr>
        <w:numId w:val="5"/>
      </w:numPr>
      <w:spacing w:before="240" w:after="240"/>
      <w:outlineLvl w:val="1"/>
    </w:pPr>
    <w:rPr>
      <w:rFonts w:ascii="Calibri" w:eastAsiaTheme="majorEastAsia" w:hAnsi="Calibri" w:cstheme="majorBidi"/>
      <w:smallCaps/>
      <w:sz w:val="28"/>
      <w:szCs w:val="26"/>
    </w:rPr>
  </w:style>
  <w:style w:type="paragraph" w:styleId="Kop3">
    <w:name w:val="heading 3"/>
    <w:basedOn w:val="Standaard"/>
    <w:next w:val="Standaard"/>
    <w:link w:val="Kop3Char"/>
    <w:uiPriority w:val="9"/>
    <w:unhideWhenUsed/>
    <w:qFormat/>
    <w:rsid w:val="00D64463"/>
    <w:pPr>
      <w:keepNext/>
      <w:keepLines/>
      <w:spacing w:before="240" w:after="240"/>
      <w:outlineLvl w:val="2"/>
    </w:pPr>
    <w:rPr>
      <w:rFonts w:ascii="Calibri" w:eastAsiaTheme="majorEastAsia" w:hAnsi="Calibri" w:cstheme="majorBidi"/>
      <w:b/>
      <w:sz w:val="26"/>
      <w:szCs w:val="24"/>
    </w:rPr>
  </w:style>
  <w:style w:type="paragraph" w:styleId="Kop4">
    <w:name w:val="heading 4"/>
    <w:basedOn w:val="Standaard"/>
    <w:next w:val="Standaard"/>
    <w:link w:val="Kop4Char"/>
    <w:uiPriority w:val="9"/>
    <w:unhideWhenUsed/>
    <w:qFormat/>
    <w:rsid w:val="00266A0D"/>
    <w:pPr>
      <w:keepNext/>
      <w:keepLines/>
      <w:numPr>
        <w:numId w:val="7"/>
      </w:numPr>
      <w:spacing w:before="240" w:after="240"/>
      <w:outlineLvl w:val="3"/>
    </w:pPr>
    <w:rPr>
      <w:rFonts w:ascii="Calibri" w:eastAsiaTheme="majorEastAsia" w:hAnsi="Calibri" w:cstheme="majorBidi"/>
      <w:b/>
      <w:iCs/>
      <w:sz w:val="24"/>
    </w:rPr>
  </w:style>
  <w:style w:type="paragraph" w:styleId="Kop5">
    <w:name w:val="heading 5"/>
    <w:basedOn w:val="Standaard"/>
    <w:next w:val="Standaard"/>
    <w:link w:val="Kop5Char"/>
    <w:uiPriority w:val="9"/>
    <w:semiHidden/>
    <w:unhideWhenUsed/>
    <w:rsid w:val="00E230A6"/>
    <w:pPr>
      <w:keepNext/>
      <w:keepLines/>
      <w:spacing w:before="40"/>
      <w:outlineLvl w:val="4"/>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46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67E2"/>
    <w:pPr>
      <w:ind w:left="720"/>
      <w:contextualSpacing/>
    </w:pPr>
  </w:style>
  <w:style w:type="character" w:customStyle="1" w:styleId="Onopgelostemelding1">
    <w:name w:val="Onopgeloste melding1"/>
    <w:basedOn w:val="Standaardalinea-lettertype"/>
    <w:uiPriority w:val="99"/>
    <w:semiHidden/>
    <w:unhideWhenUsed/>
    <w:rsid w:val="004D4406"/>
    <w:rPr>
      <w:color w:val="605E5C"/>
      <w:shd w:val="clear" w:color="auto" w:fill="E1DFDD"/>
    </w:rPr>
  </w:style>
  <w:style w:type="character" w:customStyle="1" w:styleId="Kop1Char">
    <w:name w:val="Kop 1 Char"/>
    <w:basedOn w:val="Standaardalinea-lettertype"/>
    <w:link w:val="Kop1"/>
    <w:uiPriority w:val="9"/>
    <w:rsid w:val="00D64463"/>
    <w:rPr>
      <w:rFonts w:ascii="Calibri" w:eastAsiaTheme="majorEastAsia" w:hAnsi="Calibri" w:cstheme="majorBidi"/>
      <w:b/>
      <w:sz w:val="30"/>
      <w:szCs w:val="32"/>
    </w:rPr>
  </w:style>
  <w:style w:type="character" w:customStyle="1" w:styleId="Kop5Char">
    <w:name w:val="Kop 5 Char"/>
    <w:basedOn w:val="Standaardalinea-lettertype"/>
    <w:link w:val="Kop5"/>
    <w:uiPriority w:val="9"/>
    <w:semiHidden/>
    <w:rsid w:val="00E230A6"/>
    <w:rPr>
      <w:rFonts w:asciiTheme="majorHAnsi" w:eastAsiaTheme="majorEastAsia" w:hAnsiTheme="majorHAnsi" w:cstheme="majorBidi"/>
    </w:rPr>
  </w:style>
  <w:style w:type="character" w:customStyle="1" w:styleId="Kop2Char">
    <w:name w:val="Kop 2 Char"/>
    <w:basedOn w:val="Standaardalinea-lettertype"/>
    <w:link w:val="Kop2"/>
    <w:uiPriority w:val="9"/>
    <w:rsid w:val="00E22755"/>
    <w:rPr>
      <w:rFonts w:ascii="Calibri" w:eastAsiaTheme="majorEastAsia" w:hAnsi="Calibri" w:cstheme="majorBidi"/>
      <w:smallCaps/>
      <w:sz w:val="28"/>
      <w:szCs w:val="26"/>
    </w:rPr>
  </w:style>
  <w:style w:type="character" w:customStyle="1" w:styleId="Kop3Char">
    <w:name w:val="Kop 3 Char"/>
    <w:basedOn w:val="Standaardalinea-lettertype"/>
    <w:link w:val="Kop3"/>
    <w:uiPriority w:val="9"/>
    <w:rsid w:val="00D64463"/>
    <w:rPr>
      <w:rFonts w:ascii="Calibri" w:eastAsiaTheme="majorEastAsia" w:hAnsi="Calibri" w:cstheme="majorBidi"/>
      <w:b/>
      <w:sz w:val="26"/>
      <w:szCs w:val="24"/>
    </w:rPr>
  </w:style>
  <w:style w:type="character" w:customStyle="1" w:styleId="Kop4Char">
    <w:name w:val="Kop 4 Char"/>
    <w:basedOn w:val="Standaardalinea-lettertype"/>
    <w:link w:val="Kop4"/>
    <w:uiPriority w:val="9"/>
    <w:rsid w:val="00266A0D"/>
    <w:rPr>
      <w:rFonts w:ascii="Calibri" w:eastAsiaTheme="majorEastAsia" w:hAnsi="Calibri" w:cstheme="majorBidi"/>
      <w:b/>
      <w:iCs/>
      <w:sz w:val="24"/>
    </w:rPr>
  </w:style>
  <w:style w:type="character" w:styleId="Verwijzingopmerking">
    <w:name w:val="annotation reference"/>
    <w:basedOn w:val="Standaardalinea-lettertype"/>
    <w:uiPriority w:val="99"/>
    <w:semiHidden/>
    <w:unhideWhenUsed/>
    <w:rsid w:val="005159E4"/>
    <w:rPr>
      <w:sz w:val="16"/>
      <w:szCs w:val="16"/>
    </w:rPr>
  </w:style>
  <w:style w:type="paragraph" w:styleId="Tekstopmerking">
    <w:name w:val="annotation text"/>
    <w:basedOn w:val="Standaard"/>
    <w:link w:val="TekstopmerkingChar"/>
    <w:uiPriority w:val="99"/>
    <w:unhideWhenUsed/>
    <w:rsid w:val="005159E4"/>
    <w:rPr>
      <w:sz w:val="20"/>
      <w:szCs w:val="20"/>
    </w:rPr>
  </w:style>
  <w:style w:type="character" w:customStyle="1" w:styleId="TekstopmerkingChar">
    <w:name w:val="Tekst opmerking Char"/>
    <w:basedOn w:val="Standaardalinea-lettertype"/>
    <w:link w:val="Tekstopmerking"/>
    <w:uiPriority w:val="99"/>
    <w:rsid w:val="005159E4"/>
    <w:rPr>
      <w:sz w:val="20"/>
      <w:szCs w:val="20"/>
    </w:rPr>
  </w:style>
  <w:style w:type="paragraph" w:styleId="Onderwerpvanopmerking">
    <w:name w:val="annotation subject"/>
    <w:basedOn w:val="Tekstopmerking"/>
    <w:next w:val="Tekstopmerking"/>
    <w:link w:val="OnderwerpvanopmerkingChar"/>
    <w:uiPriority w:val="99"/>
    <w:semiHidden/>
    <w:unhideWhenUsed/>
    <w:rsid w:val="005159E4"/>
    <w:rPr>
      <w:b/>
      <w:bCs/>
    </w:rPr>
  </w:style>
  <w:style w:type="character" w:customStyle="1" w:styleId="OnderwerpvanopmerkingChar">
    <w:name w:val="Onderwerp van opmerking Char"/>
    <w:basedOn w:val="TekstopmerkingChar"/>
    <w:link w:val="Onderwerpvanopmerking"/>
    <w:uiPriority w:val="99"/>
    <w:semiHidden/>
    <w:rsid w:val="005159E4"/>
    <w:rPr>
      <w:b/>
      <w:bCs/>
      <w:sz w:val="20"/>
      <w:szCs w:val="20"/>
    </w:rPr>
  </w:style>
  <w:style w:type="character" w:styleId="Hyperlink">
    <w:name w:val="Hyperlink"/>
    <w:basedOn w:val="Standaardalinea-lettertype"/>
    <w:uiPriority w:val="99"/>
    <w:unhideWhenUsed/>
    <w:rsid w:val="004465B9"/>
    <w:rPr>
      <w:color w:val="0000FF"/>
      <w:u w:val="single"/>
    </w:rPr>
  </w:style>
  <w:style w:type="paragraph" w:styleId="Normaalweb">
    <w:name w:val="Normal (Web)"/>
    <w:basedOn w:val="Standaard"/>
    <w:uiPriority w:val="99"/>
    <w:unhideWhenUsed/>
    <w:rsid w:val="00E27B24"/>
    <w:pPr>
      <w:spacing w:before="100" w:beforeAutospacing="1" w:after="100" w:afterAutospacing="1"/>
    </w:pPr>
    <w:rPr>
      <w:rFonts w:ascii="Times New Roman" w:eastAsia="Times New Roman" w:hAnsi="Times New Roman" w:cs="Times New Roman"/>
      <w:sz w:val="24"/>
      <w:szCs w:val="24"/>
      <w:lang w:eastAsia="nl-BE"/>
    </w:rPr>
  </w:style>
  <w:style w:type="character" w:customStyle="1" w:styleId="particle">
    <w:name w:val="p_article"/>
    <w:basedOn w:val="Standaardalinea-lettertype"/>
    <w:rsid w:val="00E27B24"/>
  </w:style>
  <w:style w:type="character" w:customStyle="1" w:styleId="plist">
    <w:name w:val="p_list"/>
    <w:basedOn w:val="Standaardalinea-lettertype"/>
    <w:rsid w:val="00E27B24"/>
  </w:style>
  <w:style w:type="character" w:customStyle="1" w:styleId="linktitle">
    <w:name w:val="linktitle"/>
    <w:basedOn w:val="Standaardalinea-lettertype"/>
    <w:rsid w:val="00E27B24"/>
  </w:style>
  <w:style w:type="paragraph" w:styleId="Koptekst">
    <w:name w:val="header"/>
    <w:basedOn w:val="Standaard"/>
    <w:link w:val="KoptekstChar"/>
    <w:uiPriority w:val="99"/>
    <w:unhideWhenUsed/>
    <w:rsid w:val="00DA1AF7"/>
    <w:pPr>
      <w:tabs>
        <w:tab w:val="center" w:pos="4536"/>
        <w:tab w:val="right" w:pos="9072"/>
      </w:tabs>
    </w:pPr>
  </w:style>
  <w:style w:type="character" w:customStyle="1" w:styleId="KoptekstChar">
    <w:name w:val="Koptekst Char"/>
    <w:basedOn w:val="Standaardalinea-lettertype"/>
    <w:link w:val="Koptekst"/>
    <w:uiPriority w:val="99"/>
    <w:rsid w:val="00DA1AF7"/>
  </w:style>
  <w:style w:type="paragraph" w:styleId="Voettekst">
    <w:name w:val="footer"/>
    <w:basedOn w:val="Standaard"/>
    <w:link w:val="VoettekstChar"/>
    <w:uiPriority w:val="99"/>
    <w:unhideWhenUsed/>
    <w:rsid w:val="00DA1AF7"/>
    <w:pPr>
      <w:tabs>
        <w:tab w:val="center" w:pos="4536"/>
        <w:tab w:val="right" w:pos="9072"/>
      </w:tabs>
    </w:pPr>
  </w:style>
  <w:style w:type="character" w:customStyle="1" w:styleId="VoettekstChar">
    <w:name w:val="Voettekst Char"/>
    <w:basedOn w:val="Standaardalinea-lettertype"/>
    <w:link w:val="Voettekst"/>
    <w:uiPriority w:val="99"/>
    <w:rsid w:val="00DA1AF7"/>
  </w:style>
  <w:style w:type="paragraph" w:styleId="Voetnoottekst">
    <w:name w:val="footnote text"/>
    <w:basedOn w:val="Standaard"/>
    <w:link w:val="VoetnoottekstChar"/>
    <w:uiPriority w:val="99"/>
    <w:unhideWhenUsed/>
    <w:rsid w:val="00B445B5"/>
    <w:rPr>
      <w:sz w:val="20"/>
      <w:szCs w:val="20"/>
    </w:rPr>
  </w:style>
  <w:style w:type="character" w:customStyle="1" w:styleId="VoetnoottekstChar">
    <w:name w:val="Voetnoottekst Char"/>
    <w:basedOn w:val="Standaardalinea-lettertype"/>
    <w:link w:val="Voetnoottekst"/>
    <w:uiPriority w:val="99"/>
    <w:rsid w:val="00B445B5"/>
    <w:rPr>
      <w:sz w:val="20"/>
      <w:szCs w:val="20"/>
    </w:rPr>
  </w:style>
  <w:style w:type="character" w:styleId="Voetnootmarkering">
    <w:name w:val="footnote reference"/>
    <w:basedOn w:val="Standaardalinea-lettertype"/>
    <w:uiPriority w:val="99"/>
    <w:semiHidden/>
    <w:unhideWhenUsed/>
    <w:rsid w:val="00B445B5"/>
    <w:rPr>
      <w:vertAlign w:val="superscript"/>
    </w:rPr>
  </w:style>
  <w:style w:type="paragraph" w:styleId="Ballontekst">
    <w:name w:val="Balloon Text"/>
    <w:basedOn w:val="Standaard"/>
    <w:link w:val="BallontekstChar"/>
    <w:uiPriority w:val="99"/>
    <w:semiHidden/>
    <w:unhideWhenUsed/>
    <w:rsid w:val="00A4162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1620"/>
    <w:rPr>
      <w:rFonts w:ascii="Segoe UI" w:hAnsi="Segoe UI" w:cs="Segoe UI"/>
      <w:sz w:val="18"/>
      <w:szCs w:val="18"/>
    </w:rPr>
  </w:style>
  <w:style w:type="character" w:styleId="Onopgelostemelding">
    <w:name w:val="Unresolved Mention"/>
    <w:basedOn w:val="Standaardalinea-lettertype"/>
    <w:uiPriority w:val="99"/>
    <w:semiHidden/>
    <w:unhideWhenUsed/>
    <w:rsid w:val="00AF04A4"/>
    <w:rPr>
      <w:color w:val="605E5C"/>
      <w:shd w:val="clear" w:color="auto" w:fill="E1DFDD"/>
    </w:rPr>
  </w:style>
  <w:style w:type="character" w:styleId="GevolgdeHyperlink">
    <w:name w:val="FollowedHyperlink"/>
    <w:basedOn w:val="Standaardalinea-lettertype"/>
    <w:uiPriority w:val="99"/>
    <w:semiHidden/>
    <w:unhideWhenUsed/>
    <w:rsid w:val="00921FA3"/>
    <w:rPr>
      <w:color w:val="954F72" w:themeColor="followedHyperlink"/>
      <w:u w:val="single"/>
    </w:rPr>
  </w:style>
  <w:style w:type="paragraph" w:styleId="Revisie">
    <w:name w:val="Revision"/>
    <w:hidden/>
    <w:uiPriority w:val="99"/>
    <w:semiHidden/>
    <w:rsid w:val="00FC0A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4922">
      <w:bodyDiv w:val="1"/>
      <w:marLeft w:val="0"/>
      <w:marRight w:val="0"/>
      <w:marTop w:val="0"/>
      <w:marBottom w:val="0"/>
      <w:divBdr>
        <w:top w:val="none" w:sz="0" w:space="0" w:color="auto"/>
        <w:left w:val="none" w:sz="0" w:space="0" w:color="auto"/>
        <w:bottom w:val="none" w:sz="0" w:space="0" w:color="auto"/>
        <w:right w:val="none" w:sz="0" w:space="0" w:color="auto"/>
      </w:divBdr>
    </w:div>
    <w:div w:id="167447088">
      <w:bodyDiv w:val="1"/>
      <w:marLeft w:val="0"/>
      <w:marRight w:val="0"/>
      <w:marTop w:val="0"/>
      <w:marBottom w:val="0"/>
      <w:divBdr>
        <w:top w:val="none" w:sz="0" w:space="0" w:color="auto"/>
        <w:left w:val="none" w:sz="0" w:space="0" w:color="auto"/>
        <w:bottom w:val="none" w:sz="0" w:space="0" w:color="auto"/>
        <w:right w:val="none" w:sz="0" w:space="0" w:color="auto"/>
      </w:divBdr>
    </w:div>
    <w:div w:id="253779741">
      <w:bodyDiv w:val="1"/>
      <w:marLeft w:val="0"/>
      <w:marRight w:val="0"/>
      <w:marTop w:val="0"/>
      <w:marBottom w:val="0"/>
      <w:divBdr>
        <w:top w:val="none" w:sz="0" w:space="0" w:color="auto"/>
        <w:left w:val="none" w:sz="0" w:space="0" w:color="auto"/>
        <w:bottom w:val="none" w:sz="0" w:space="0" w:color="auto"/>
        <w:right w:val="none" w:sz="0" w:space="0" w:color="auto"/>
      </w:divBdr>
    </w:div>
    <w:div w:id="319620414">
      <w:bodyDiv w:val="1"/>
      <w:marLeft w:val="0"/>
      <w:marRight w:val="0"/>
      <w:marTop w:val="0"/>
      <w:marBottom w:val="0"/>
      <w:divBdr>
        <w:top w:val="none" w:sz="0" w:space="0" w:color="auto"/>
        <w:left w:val="none" w:sz="0" w:space="0" w:color="auto"/>
        <w:bottom w:val="none" w:sz="0" w:space="0" w:color="auto"/>
        <w:right w:val="none" w:sz="0" w:space="0" w:color="auto"/>
      </w:divBdr>
    </w:div>
    <w:div w:id="326791576">
      <w:bodyDiv w:val="1"/>
      <w:marLeft w:val="0"/>
      <w:marRight w:val="0"/>
      <w:marTop w:val="0"/>
      <w:marBottom w:val="0"/>
      <w:divBdr>
        <w:top w:val="none" w:sz="0" w:space="0" w:color="auto"/>
        <w:left w:val="none" w:sz="0" w:space="0" w:color="auto"/>
        <w:bottom w:val="none" w:sz="0" w:space="0" w:color="auto"/>
        <w:right w:val="none" w:sz="0" w:space="0" w:color="auto"/>
      </w:divBdr>
      <w:divsChild>
        <w:div w:id="1261374464">
          <w:marLeft w:val="0"/>
          <w:marRight w:val="-2400"/>
          <w:marTop w:val="0"/>
          <w:marBottom w:val="0"/>
          <w:divBdr>
            <w:top w:val="none" w:sz="0" w:space="0" w:color="auto"/>
            <w:left w:val="none" w:sz="0" w:space="0" w:color="auto"/>
            <w:bottom w:val="none" w:sz="0" w:space="0" w:color="auto"/>
            <w:right w:val="none" w:sz="0" w:space="0" w:color="auto"/>
          </w:divBdr>
          <w:divsChild>
            <w:div w:id="974145780">
              <w:marLeft w:val="0"/>
              <w:marRight w:val="0"/>
              <w:marTop w:val="0"/>
              <w:marBottom w:val="0"/>
              <w:divBdr>
                <w:top w:val="none" w:sz="0" w:space="0" w:color="auto"/>
                <w:left w:val="none" w:sz="0" w:space="0" w:color="auto"/>
                <w:bottom w:val="none" w:sz="0" w:space="0" w:color="auto"/>
                <w:right w:val="none" w:sz="0" w:space="0" w:color="auto"/>
              </w:divBdr>
              <w:divsChild>
                <w:div w:id="13668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677">
          <w:marLeft w:val="432"/>
          <w:marRight w:val="432"/>
          <w:marTop w:val="150"/>
          <w:marBottom w:val="150"/>
          <w:divBdr>
            <w:top w:val="none" w:sz="0" w:space="0" w:color="auto"/>
            <w:left w:val="none" w:sz="0" w:space="0" w:color="auto"/>
            <w:bottom w:val="none" w:sz="0" w:space="0" w:color="auto"/>
            <w:right w:val="none" w:sz="0" w:space="0" w:color="auto"/>
          </w:divBdr>
        </w:div>
      </w:divsChild>
    </w:div>
    <w:div w:id="362633725">
      <w:bodyDiv w:val="1"/>
      <w:marLeft w:val="0"/>
      <w:marRight w:val="0"/>
      <w:marTop w:val="0"/>
      <w:marBottom w:val="0"/>
      <w:divBdr>
        <w:top w:val="none" w:sz="0" w:space="0" w:color="auto"/>
        <w:left w:val="none" w:sz="0" w:space="0" w:color="auto"/>
        <w:bottom w:val="none" w:sz="0" w:space="0" w:color="auto"/>
        <w:right w:val="none" w:sz="0" w:space="0" w:color="auto"/>
      </w:divBdr>
      <w:divsChild>
        <w:div w:id="149057784">
          <w:marLeft w:val="1080"/>
          <w:marRight w:val="0"/>
          <w:marTop w:val="100"/>
          <w:marBottom w:val="0"/>
          <w:divBdr>
            <w:top w:val="none" w:sz="0" w:space="0" w:color="auto"/>
            <w:left w:val="none" w:sz="0" w:space="0" w:color="auto"/>
            <w:bottom w:val="none" w:sz="0" w:space="0" w:color="auto"/>
            <w:right w:val="none" w:sz="0" w:space="0" w:color="auto"/>
          </w:divBdr>
        </w:div>
      </w:divsChild>
    </w:div>
    <w:div w:id="363988132">
      <w:bodyDiv w:val="1"/>
      <w:marLeft w:val="0"/>
      <w:marRight w:val="0"/>
      <w:marTop w:val="0"/>
      <w:marBottom w:val="0"/>
      <w:divBdr>
        <w:top w:val="none" w:sz="0" w:space="0" w:color="auto"/>
        <w:left w:val="none" w:sz="0" w:space="0" w:color="auto"/>
        <w:bottom w:val="none" w:sz="0" w:space="0" w:color="auto"/>
        <w:right w:val="none" w:sz="0" w:space="0" w:color="auto"/>
      </w:divBdr>
    </w:div>
    <w:div w:id="388459546">
      <w:bodyDiv w:val="1"/>
      <w:marLeft w:val="0"/>
      <w:marRight w:val="0"/>
      <w:marTop w:val="0"/>
      <w:marBottom w:val="0"/>
      <w:divBdr>
        <w:top w:val="none" w:sz="0" w:space="0" w:color="auto"/>
        <w:left w:val="none" w:sz="0" w:space="0" w:color="auto"/>
        <w:bottom w:val="none" w:sz="0" w:space="0" w:color="auto"/>
        <w:right w:val="none" w:sz="0" w:space="0" w:color="auto"/>
      </w:divBdr>
      <w:divsChild>
        <w:div w:id="894857562">
          <w:marLeft w:val="0"/>
          <w:marRight w:val="0"/>
          <w:marTop w:val="0"/>
          <w:marBottom w:val="0"/>
          <w:divBdr>
            <w:top w:val="none" w:sz="0" w:space="0" w:color="auto"/>
            <w:left w:val="none" w:sz="0" w:space="0" w:color="auto"/>
            <w:bottom w:val="none" w:sz="0" w:space="0" w:color="auto"/>
            <w:right w:val="none" w:sz="0" w:space="0" w:color="auto"/>
          </w:divBdr>
        </w:div>
        <w:div w:id="1089154525">
          <w:marLeft w:val="0"/>
          <w:marRight w:val="0"/>
          <w:marTop w:val="0"/>
          <w:marBottom w:val="0"/>
          <w:divBdr>
            <w:top w:val="none" w:sz="0" w:space="0" w:color="auto"/>
            <w:left w:val="none" w:sz="0" w:space="0" w:color="auto"/>
            <w:bottom w:val="none" w:sz="0" w:space="0" w:color="auto"/>
            <w:right w:val="none" w:sz="0" w:space="0" w:color="auto"/>
          </w:divBdr>
        </w:div>
      </w:divsChild>
    </w:div>
    <w:div w:id="390156139">
      <w:bodyDiv w:val="1"/>
      <w:marLeft w:val="0"/>
      <w:marRight w:val="0"/>
      <w:marTop w:val="0"/>
      <w:marBottom w:val="0"/>
      <w:divBdr>
        <w:top w:val="none" w:sz="0" w:space="0" w:color="auto"/>
        <w:left w:val="none" w:sz="0" w:space="0" w:color="auto"/>
        <w:bottom w:val="none" w:sz="0" w:space="0" w:color="auto"/>
        <w:right w:val="none" w:sz="0" w:space="0" w:color="auto"/>
      </w:divBdr>
    </w:div>
    <w:div w:id="432550762">
      <w:bodyDiv w:val="1"/>
      <w:marLeft w:val="0"/>
      <w:marRight w:val="0"/>
      <w:marTop w:val="0"/>
      <w:marBottom w:val="0"/>
      <w:divBdr>
        <w:top w:val="none" w:sz="0" w:space="0" w:color="auto"/>
        <w:left w:val="none" w:sz="0" w:space="0" w:color="auto"/>
        <w:bottom w:val="none" w:sz="0" w:space="0" w:color="auto"/>
        <w:right w:val="none" w:sz="0" w:space="0" w:color="auto"/>
      </w:divBdr>
    </w:div>
    <w:div w:id="590889947">
      <w:bodyDiv w:val="1"/>
      <w:marLeft w:val="0"/>
      <w:marRight w:val="0"/>
      <w:marTop w:val="0"/>
      <w:marBottom w:val="0"/>
      <w:divBdr>
        <w:top w:val="none" w:sz="0" w:space="0" w:color="auto"/>
        <w:left w:val="none" w:sz="0" w:space="0" w:color="auto"/>
        <w:bottom w:val="none" w:sz="0" w:space="0" w:color="auto"/>
        <w:right w:val="none" w:sz="0" w:space="0" w:color="auto"/>
      </w:divBdr>
    </w:div>
    <w:div w:id="645016432">
      <w:bodyDiv w:val="1"/>
      <w:marLeft w:val="0"/>
      <w:marRight w:val="0"/>
      <w:marTop w:val="0"/>
      <w:marBottom w:val="0"/>
      <w:divBdr>
        <w:top w:val="none" w:sz="0" w:space="0" w:color="auto"/>
        <w:left w:val="none" w:sz="0" w:space="0" w:color="auto"/>
        <w:bottom w:val="none" w:sz="0" w:space="0" w:color="auto"/>
        <w:right w:val="none" w:sz="0" w:space="0" w:color="auto"/>
      </w:divBdr>
      <w:divsChild>
        <w:div w:id="956446922">
          <w:marLeft w:val="0"/>
          <w:marRight w:val="0"/>
          <w:marTop w:val="0"/>
          <w:marBottom w:val="0"/>
          <w:divBdr>
            <w:top w:val="none" w:sz="0" w:space="0" w:color="auto"/>
            <w:left w:val="none" w:sz="0" w:space="0" w:color="auto"/>
            <w:bottom w:val="none" w:sz="0" w:space="0" w:color="auto"/>
            <w:right w:val="none" w:sz="0" w:space="0" w:color="auto"/>
          </w:divBdr>
        </w:div>
        <w:div w:id="703866088">
          <w:marLeft w:val="0"/>
          <w:marRight w:val="0"/>
          <w:marTop w:val="0"/>
          <w:marBottom w:val="0"/>
          <w:divBdr>
            <w:top w:val="none" w:sz="0" w:space="0" w:color="auto"/>
            <w:left w:val="none" w:sz="0" w:space="0" w:color="auto"/>
            <w:bottom w:val="none" w:sz="0" w:space="0" w:color="auto"/>
            <w:right w:val="none" w:sz="0" w:space="0" w:color="auto"/>
          </w:divBdr>
        </w:div>
        <w:div w:id="1592548690">
          <w:marLeft w:val="0"/>
          <w:marRight w:val="0"/>
          <w:marTop w:val="0"/>
          <w:marBottom w:val="0"/>
          <w:divBdr>
            <w:top w:val="none" w:sz="0" w:space="0" w:color="auto"/>
            <w:left w:val="none" w:sz="0" w:space="0" w:color="auto"/>
            <w:bottom w:val="none" w:sz="0" w:space="0" w:color="auto"/>
            <w:right w:val="none" w:sz="0" w:space="0" w:color="auto"/>
          </w:divBdr>
        </w:div>
        <w:div w:id="1010260491">
          <w:marLeft w:val="0"/>
          <w:marRight w:val="0"/>
          <w:marTop w:val="0"/>
          <w:marBottom w:val="0"/>
          <w:divBdr>
            <w:top w:val="none" w:sz="0" w:space="0" w:color="auto"/>
            <w:left w:val="none" w:sz="0" w:space="0" w:color="auto"/>
            <w:bottom w:val="none" w:sz="0" w:space="0" w:color="auto"/>
            <w:right w:val="none" w:sz="0" w:space="0" w:color="auto"/>
          </w:divBdr>
        </w:div>
        <w:div w:id="146289620">
          <w:marLeft w:val="0"/>
          <w:marRight w:val="0"/>
          <w:marTop w:val="0"/>
          <w:marBottom w:val="0"/>
          <w:divBdr>
            <w:top w:val="none" w:sz="0" w:space="0" w:color="auto"/>
            <w:left w:val="none" w:sz="0" w:space="0" w:color="auto"/>
            <w:bottom w:val="none" w:sz="0" w:space="0" w:color="auto"/>
            <w:right w:val="none" w:sz="0" w:space="0" w:color="auto"/>
          </w:divBdr>
        </w:div>
        <w:div w:id="1854029849">
          <w:marLeft w:val="0"/>
          <w:marRight w:val="0"/>
          <w:marTop w:val="0"/>
          <w:marBottom w:val="0"/>
          <w:divBdr>
            <w:top w:val="none" w:sz="0" w:space="0" w:color="auto"/>
            <w:left w:val="none" w:sz="0" w:space="0" w:color="auto"/>
            <w:bottom w:val="none" w:sz="0" w:space="0" w:color="auto"/>
            <w:right w:val="none" w:sz="0" w:space="0" w:color="auto"/>
          </w:divBdr>
        </w:div>
        <w:div w:id="284167262">
          <w:marLeft w:val="0"/>
          <w:marRight w:val="0"/>
          <w:marTop w:val="0"/>
          <w:marBottom w:val="0"/>
          <w:divBdr>
            <w:top w:val="none" w:sz="0" w:space="0" w:color="auto"/>
            <w:left w:val="none" w:sz="0" w:space="0" w:color="auto"/>
            <w:bottom w:val="none" w:sz="0" w:space="0" w:color="auto"/>
            <w:right w:val="none" w:sz="0" w:space="0" w:color="auto"/>
          </w:divBdr>
        </w:div>
        <w:div w:id="35088663">
          <w:marLeft w:val="0"/>
          <w:marRight w:val="0"/>
          <w:marTop w:val="0"/>
          <w:marBottom w:val="0"/>
          <w:divBdr>
            <w:top w:val="none" w:sz="0" w:space="0" w:color="auto"/>
            <w:left w:val="none" w:sz="0" w:space="0" w:color="auto"/>
            <w:bottom w:val="none" w:sz="0" w:space="0" w:color="auto"/>
            <w:right w:val="none" w:sz="0" w:space="0" w:color="auto"/>
          </w:divBdr>
        </w:div>
        <w:div w:id="1217662189">
          <w:marLeft w:val="0"/>
          <w:marRight w:val="0"/>
          <w:marTop w:val="0"/>
          <w:marBottom w:val="0"/>
          <w:divBdr>
            <w:top w:val="none" w:sz="0" w:space="0" w:color="auto"/>
            <w:left w:val="none" w:sz="0" w:space="0" w:color="auto"/>
            <w:bottom w:val="none" w:sz="0" w:space="0" w:color="auto"/>
            <w:right w:val="none" w:sz="0" w:space="0" w:color="auto"/>
          </w:divBdr>
        </w:div>
        <w:div w:id="1543907021">
          <w:marLeft w:val="0"/>
          <w:marRight w:val="0"/>
          <w:marTop w:val="0"/>
          <w:marBottom w:val="0"/>
          <w:divBdr>
            <w:top w:val="none" w:sz="0" w:space="0" w:color="auto"/>
            <w:left w:val="none" w:sz="0" w:space="0" w:color="auto"/>
            <w:bottom w:val="none" w:sz="0" w:space="0" w:color="auto"/>
            <w:right w:val="none" w:sz="0" w:space="0" w:color="auto"/>
          </w:divBdr>
        </w:div>
      </w:divsChild>
    </w:div>
    <w:div w:id="650980700">
      <w:bodyDiv w:val="1"/>
      <w:marLeft w:val="0"/>
      <w:marRight w:val="0"/>
      <w:marTop w:val="0"/>
      <w:marBottom w:val="0"/>
      <w:divBdr>
        <w:top w:val="none" w:sz="0" w:space="0" w:color="auto"/>
        <w:left w:val="none" w:sz="0" w:space="0" w:color="auto"/>
        <w:bottom w:val="none" w:sz="0" w:space="0" w:color="auto"/>
        <w:right w:val="none" w:sz="0" w:space="0" w:color="auto"/>
      </w:divBdr>
      <w:divsChild>
        <w:div w:id="982270565">
          <w:marLeft w:val="0"/>
          <w:marRight w:val="0"/>
          <w:marTop w:val="0"/>
          <w:marBottom w:val="0"/>
          <w:divBdr>
            <w:top w:val="none" w:sz="0" w:space="0" w:color="auto"/>
            <w:left w:val="none" w:sz="0" w:space="0" w:color="auto"/>
            <w:bottom w:val="none" w:sz="0" w:space="0" w:color="auto"/>
            <w:right w:val="none" w:sz="0" w:space="0" w:color="auto"/>
          </w:divBdr>
        </w:div>
        <w:div w:id="984550478">
          <w:marLeft w:val="0"/>
          <w:marRight w:val="0"/>
          <w:marTop w:val="0"/>
          <w:marBottom w:val="0"/>
          <w:divBdr>
            <w:top w:val="none" w:sz="0" w:space="0" w:color="auto"/>
            <w:left w:val="none" w:sz="0" w:space="0" w:color="auto"/>
            <w:bottom w:val="none" w:sz="0" w:space="0" w:color="auto"/>
            <w:right w:val="none" w:sz="0" w:space="0" w:color="auto"/>
          </w:divBdr>
        </w:div>
        <w:div w:id="415057205">
          <w:marLeft w:val="0"/>
          <w:marRight w:val="0"/>
          <w:marTop w:val="0"/>
          <w:marBottom w:val="0"/>
          <w:divBdr>
            <w:top w:val="none" w:sz="0" w:space="0" w:color="auto"/>
            <w:left w:val="none" w:sz="0" w:space="0" w:color="auto"/>
            <w:bottom w:val="none" w:sz="0" w:space="0" w:color="auto"/>
            <w:right w:val="none" w:sz="0" w:space="0" w:color="auto"/>
          </w:divBdr>
        </w:div>
        <w:div w:id="365060554">
          <w:marLeft w:val="0"/>
          <w:marRight w:val="0"/>
          <w:marTop w:val="0"/>
          <w:marBottom w:val="0"/>
          <w:divBdr>
            <w:top w:val="none" w:sz="0" w:space="0" w:color="auto"/>
            <w:left w:val="none" w:sz="0" w:space="0" w:color="auto"/>
            <w:bottom w:val="none" w:sz="0" w:space="0" w:color="auto"/>
            <w:right w:val="none" w:sz="0" w:space="0" w:color="auto"/>
          </w:divBdr>
        </w:div>
      </w:divsChild>
    </w:div>
    <w:div w:id="737829374">
      <w:bodyDiv w:val="1"/>
      <w:marLeft w:val="0"/>
      <w:marRight w:val="0"/>
      <w:marTop w:val="0"/>
      <w:marBottom w:val="0"/>
      <w:divBdr>
        <w:top w:val="none" w:sz="0" w:space="0" w:color="auto"/>
        <w:left w:val="none" w:sz="0" w:space="0" w:color="auto"/>
        <w:bottom w:val="none" w:sz="0" w:space="0" w:color="auto"/>
        <w:right w:val="none" w:sz="0" w:space="0" w:color="auto"/>
      </w:divBdr>
    </w:div>
    <w:div w:id="983701709">
      <w:bodyDiv w:val="1"/>
      <w:marLeft w:val="0"/>
      <w:marRight w:val="0"/>
      <w:marTop w:val="0"/>
      <w:marBottom w:val="0"/>
      <w:divBdr>
        <w:top w:val="none" w:sz="0" w:space="0" w:color="auto"/>
        <w:left w:val="none" w:sz="0" w:space="0" w:color="auto"/>
        <w:bottom w:val="none" w:sz="0" w:space="0" w:color="auto"/>
        <w:right w:val="none" w:sz="0" w:space="0" w:color="auto"/>
      </w:divBdr>
    </w:div>
    <w:div w:id="1032656596">
      <w:bodyDiv w:val="1"/>
      <w:marLeft w:val="0"/>
      <w:marRight w:val="0"/>
      <w:marTop w:val="0"/>
      <w:marBottom w:val="0"/>
      <w:divBdr>
        <w:top w:val="none" w:sz="0" w:space="0" w:color="auto"/>
        <w:left w:val="none" w:sz="0" w:space="0" w:color="auto"/>
        <w:bottom w:val="none" w:sz="0" w:space="0" w:color="auto"/>
        <w:right w:val="none" w:sz="0" w:space="0" w:color="auto"/>
      </w:divBdr>
    </w:div>
    <w:div w:id="1078402975">
      <w:bodyDiv w:val="1"/>
      <w:marLeft w:val="0"/>
      <w:marRight w:val="0"/>
      <w:marTop w:val="0"/>
      <w:marBottom w:val="0"/>
      <w:divBdr>
        <w:top w:val="none" w:sz="0" w:space="0" w:color="auto"/>
        <w:left w:val="none" w:sz="0" w:space="0" w:color="auto"/>
        <w:bottom w:val="none" w:sz="0" w:space="0" w:color="auto"/>
        <w:right w:val="none" w:sz="0" w:space="0" w:color="auto"/>
      </w:divBdr>
    </w:div>
    <w:div w:id="1121454022">
      <w:bodyDiv w:val="1"/>
      <w:marLeft w:val="0"/>
      <w:marRight w:val="0"/>
      <w:marTop w:val="0"/>
      <w:marBottom w:val="0"/>
      <w:divBdr>
        <w:top w:val="none" w:sz="0" w:space="0" w:color="auto"/>
        <w:left w:val="none" w:sz="0" w:space="0" w:color="auto"/>
        <w:bottom w:val="none" w:sz="0" w:space="0" w:color="auto"/>
        <w:right w:val="none" w:sz="0" w:space="0" w:color="auto"/>
      </w:divBdr>
      <w:divsChild>
        <w:div w:id="693917778">
          <w:marLeft w:val="0"/>
          <w:marRight w:val="0"/>
          <w:marTop w:val="0"/>
          <w:marBottom w:val="0"/>
          <w:divBdr>
            <w:top w:val="none" w:sz="0" w:space="0" w:color="auto"/>
            <w:left w:val="none" w:sz="0" w:space="0" w:color="auto"/>
            <w:bottom w:val="none" w:sz="0" w:space="0" w:color="auto"/>
            <w:right w:val="none" w:sz="0" w:space="0" w:color="auto"/>
          </w:divBdr>
        </w:div>
        <w:div w:id="1587837924">
          <w:marLeft w:val="0"/>
          <w:marRight w:val="0"/>
          <w:marTop w:val="0"/>
          <w:marBottom w:val="0"/>
          <w:divBdr>
            <w:top w:val="none" w:sz="0" w:space="0" w:color="auto"/>
            <w:left w:val="none" w:sz="0" w:space="0" w:color="auto"/>
            <w:bottom w:val="none" w:sz="0" w:space="0" w:color="auto"/>
            <w:right w:val="none" w:sz="0" w:space="0" w:color="auto"/>
          </w:divBdr>
        </w:div>
        <w:div w:id="320238939">
          <w:marLeft w:val="0"/>
          <w:marRight w:val="0"/>
          <w:marTop w:val="0"/>
          <w:marBottom w:val="0"/>
          <w:divBdr>
            <w:top w:val="none" w:sz="0" w:space="0" w:color="auto"/>
            <w:left w:val="none" w:sz="0" w:space="0" w:color="auto"/>
            <w:bottom w:val="none" w:sz="0" w:space="0" w:color="auto"/>
            <w:right w:val="none" w:sz="0" w:space="0" w:color="auto"/>
          </w:divBdr>
        </w:div>
      </w:divsChild>
    </w:div>
    <w:div w:id="1193769200">
      <w:bodyDiv w:val="1"/>
      <w:marLeft w:val="0"/>
      <w:marRight w:val="0"/>
      <w:marTop w:val="0"/>
      <w:marBottom w:val="0"/>
      <w:divBdr>
        <w:top w:val="none" w:sz="0" w:space="0" w:color="auto"/>
        <w:left w:val="none" w:sz="0" w:space="0" w:color="auto"/>
        <w:bottom w:val="none" w:sz="0" w:space="0" w:color="auto"/>
        <w:right w:val="none" w:sz="0" w:space="0" w:color="auto"/>
      </w:divBdr>
    </w:div>
    <w:div w:id="1224020333">
      <w:bodyDiv w:val="1"/>
      <w:marLeft w:val="0"/>
      <w:marRight w:val="0"/>
      <w:marTop w:val="0"/>
      <w:marBottom w:val="0"/>
      <w:divBdr>
        <w:top w:val="none" w:sz="0" w:space="0" w:color="auto"/>
        <w:left w:val="none" w:sz="0" w:space="0" w:color="auto"/>
        <w:bottom w:val="none" w:sz="0" w:space="0" w:color="auto"/>
        <w:right w:val="none" w:sz="0" w:space="0" w:color="auto"/>
      </w:divBdr>
    </w:div>
    <w:div w:id="1416364054">
      <w:bodyDiv w:val="1"/>
      <w:marLeft w:val="0"/>
      <w:marRight w:val="0"/>
      <w:marTop w:val="0"/>
      <w:marBottom w:val="0"/>
      <w:divBdr>
        <w:top w:val="none" w:sz="0" w:space="0" w:color="auto"/>
        <w:left w:val="none" w:sz="0" w:space="0" w:color="auto"/>
        <w:bottom w:val="none" w:sz="0" w:space="0" w:color="auto"/>
        <w:right w:val="none" w:sz="0" w:space="0" w:color="auto"/>
      </w:divBdr>
      <w:divsChild>
        <w:div w:id="1093746180">
          <w:marLeft w:val="0"/>
          <w:marRight w:val="0"/>
          <w:marTop w:val="0"/>
          <w:marBottom w:val="0"/>
          <w:divBdr>
            <w:top w:val="none" w:sz="0" w:space="0" w:color="auto"/>
            <w:left w:val="none" w:sz="0" w:space="0" w:color="auto"/>
            <w:bottom w:val="none" w:sz="0" w:space="0" w:color="auto"/>
            <w:right w:val="none" w:sz="0" w:space="0" w:color="auto"/>
          </w:divBdr>
        </w:div>
        <w:div w:id="928537544">
          <w:marLeft w:val="0"/>
          <w:marRight w:val="0"/>
          <w:marTop w:val="0"/>
          <w:marBottom w:val="0"/>
          <w:divBdr>
            <w:top w:val="none" w:sz="0" w:space="0" w:color="auto"/>
            <w:left w:val="none" w:sz="0" w:space="0" w:color="auto"/>
            <w:bottom w:val="none" w:sz="0" w:space="0" w:color="auto"/>
            <w:right w:val="none" w:sz="0" w:space="0" w:color="auto"/>
          </w:divBdr>
        </w:div>
        <w:div w:id="1041711825">
          <w:marLeft w:val="0"/>
          <w:marRight w:val="0"/>
          <w:marTop w:val="0"/>
          <w:marBottom w:val="0"/>
          <w:divBdr>
            <w:top w:val="none" w:sz="0" w:space="0" w:color="auto"/>
            <w:left w:val="none" w:sz="0" w:space="0" w:color="auto"/>
            <w:bottom w:val="none" w:sz="0" w:space="0" w:color="auto"/>
            <w:right w:val="none" w:sz="0" w:space="0" w:color="auto"/>
          </w:divBdr>
        </w:div>
        <w:div w:id="1568488601">
          <w:marLeft w:val="0"/>
          <w:marRight w:val="0"/>
          <w:marTop w:val="0"/>
          <w:marBottom w:val="0"/>
          <w:divBdr>
            <w:top w:val="none" w:sz="0" w:space="0" w:color="auto"/>
            <w:left w:val="none" w:sz="0" w:space="0" w:color="auto"/>
            <w:bottom w:val="none" w:sz="0" w:space="0" w:color="auto"/>
            <w:right w:val="none" w:sz="0" w:space="0" w:color="auto"/>
          </w:divBdr>
        </w:div>
      </w:divsChild>
    </w:div>
    <w:div w:id="1459176818">
      <w:bodyDiv w:val="1"/>
      <w:marLeft w:val="0"/>
      <w:marRight w:val="0"/>
      <w:marTop w:val="0"/>
      <w:marBottom w:val="0"/>
      <w:divBdr>
        <w:top w:val="none" w:sz="0" w:space="0" w:color="auto"/>
        <w:left w:val="none" w:sz="0" w:space="0" w:color="auto"/>
        <w:bottom w:val="none" w:sz="0" w:space="0" w:color="auto"/>
        <w:right w:val="none" w:sz="0" w:space="0" w:color="auto"/>
      </w:divBdr>
    </w:div>
    <w:div w:id="1927034042">
      <w:bodyDiv w:val="1"/>
      <w:marLeft w:val="0"/>
      <w:marRight w:val="0"/>
      <w:marTop w:val="0"/>
      <w:marBottom w:val="0"/>
      <w:divBdr>
        <w:top w:val="none" w:sz="0" w:space="0" w:color="auto"/>
        <w:left w:val="none" w:sz="0" w:space="0" w:color="auto"/>
        <w:bottom w:val="none" w:sz="0" w:space="0" w:color="auto"/>
        <w:right w:val="none" w:sz="0" w:space="0" w:color="auto"/>
      </w:divBdr>
      <w:divsChild>
        <w:div w:id="1213156679">
          <w:marLeft w:val="0"/>
          <w:marRight w:val="0"/>
          <w:marTop w:val="0"/>
          <w:marBottom w:val="0"/>
          <w:divBdr>
            <w:top w:val="none" w:sz="0" w:space="0" w:color="auto"/>
            <w:left w:val="none" w:sz="0" w:space="0" w:color="auto"/>
            <w:bottom w:val="none" w:sz="0" w:space="0" w:color="auto"/>
            <w:right w:val="none" w:sz="0" w:space="0" w:color="auto"/>
          </w:divBdr>
        </w:div>
        <w:div w:id="1120034034">
          <w:marLeft w:val="0"/>
          <w:marRight w:val="0"/>
          <w:marTop w:val="0"/>
          <w:marBottom w:val="0"/>
          <w:divBdr>
            <w:top w:val="none" w:sz="0" w:space="0" w:color="auto"/>
            <w:left w:val="none" w:sz="0" w:space="0" w:color="auto"/>
            <w:bottom w:val="none" w:sz="0" w:space="0" w:color="auto"/>
            <w:right w:val="none" w:sz="0" w:space="0" w:color="auto"/>
          </w:divBdr>
        </w:div>
        <w:div w:id="1115246419">
          <w:marLeft w:val="0"/>
          <w:marRight w:val="0"/>
          <w:marTop w:val="0"/>
          <w:marBottom w:val="0"/>
          <w:divBdr>
            <w:top w:val="none" w:sz="0" w:space="0" w:color="auto"/>
            <w:left w:val="none" w:sz="0" w:space="0" w:color="auto"/>
            <w:bottom w:val="none" w:sz="0" w:space="0" w:color="auto"/>
            <w:right w:val="none" w:sz="0" w:space="0" w:color="auto"/>
          </w:divBdr>
        </w:div>
        <w:div w:id="1418549670">
          <w:marLeft w:val="0"/>
          <w:marRight w:val="0"/>
          <w:marTop w:val="0"/>
          <w:marBottom w:val="0"/>
          <w:divBdr>
            <w:top w:val="none" w:sz="0" w:space="0" w:color="auto"/>
            <w:left w:val="none" w:sz="0" w:space="0" w:color="auto"/>
            <w:bottom w:val="none" w:sz="0" w:space="0" w:color="auto"/>
            <w:right w:val="none" w:sz="0" w:space="0" w:color="auto"/>
          </w:divBdr>
        </w:div>
        <w:div w:id="1703289524">
          <w:marLeft w:val="0"/>
          <w:marRight w:val="0"/>
          <w:marTop w:val="0"/>
          <w:marBottom w:val="0"/>
          <w:divBdr>
            <w:top w:val="none" w:sz="0" w:space="0" w:color="auto"/>
            <w:left w:val="none" w:sz="0" w:space="0" w:color="auto"/>
            <w:bottom w:val="none" w:sz="0" w:space="0" w:color="auto"/>
            <w:right w:val="none" w:sz="0" w:space="0" w:color="auto"/>
          </w:divBdr>
        </w:div>
        <w:div w:id="1676573408">
          <w:marLeft w:val="0"/>
          <w:marRight w:val="0"/>
          <w:marTop w:val="0"/>
          <w:marBottom w:val="0"/>
          <w:divBdr>
            <w:top w:val="none" w:sz="0" w:space="0" w:color="auto"/>
            <w:left w:val="none" w:sz="0" w:space="0" w:color="auto"/>
            <w:bottom w:val="none" w:sz="0" w:space="0" w:color="auto"/>
            <w:right w:val="none" w:sz="0" w:space="0" w:color="auto"/>
          </w:divBdr>
        </w:div>
        <w:div w:id="269900452">
          <w:marLeft w:val="0"/>
          <w:marRight w:val="0"/>
          <w:marTop w:val="0"/>
          <w:marBottom w:val="0"/>
          <w:divBdr>
            <w:top w:val="none" w:sz="0" w:space="0" w:color="auto"/>
            <w:left w:val="none" w:sz="0" w:space="0" w:color="auto"/>
            <w:bottom w:val="none" w:sz="0" w:space="0" w:color="auto"/>
            <w:right w:val="none" w:sz="0" w:space="0" w:color="auto"/>
          </w:divBdr>
        </w:div>
        <w:div w:id="1966571043">
          <w:marLeft w:val="0"/>
          <w:marRight w:val="0"/>
          <w:marTop w:val="0"/>
          <w:marBottom w:val="0"/>
          <w:divBdr>
            <w:top w:val="none" w:sz="0" w:space="0" w:color="auto"/>
            <w:left w:val="none" w:sz="0" w:space="0" w:color="auto"/>
            <w:bottom w:val="none" w:sz="0" w:space="0" w:color="auto"/>
            <w:right w:val="none" w:sz="0" w:space="0" w:color="auto"/>
          </w:divBdr>
        </w:div>
        <w:div w:id="1091582531">
          <w:marLeft w:val="0"/>
          <w:marRight w:val="0"/>
          <w:marTop w:val="0"/>
          <w:marBottom w:val="0"/>
          <w:divBdr>
            <w:top w:val="none" w:sz="0" w:space="0" w:color="auto"/>
            <w:left w:val="none" w:sz="0" w:space="0" w:color="auto"/>
            <w:bottom w:val="none" w:sz="0" w:space="0" w:color="auto"/>
            <w:right w:val="none" w:sz="0" w:space="0" w:color="auto"/>
          </w:divBdr>
        </w:div>
        <w:div w:id="1219779832">
          <w:marLeft w:val="0"/>
          <w:marRight w:val="0"/>
          <w:marTop w:val="0"/>
          <w:marBottom w:val="0"/>
          <w:divBdr>
            <w:top w:val="none" w:sz="0" w:space="0" w:color="auto"/>
            <w:left w:val="none" w:sz="0" w:space="0" w:color="auto"/>
            <w:bottom w:val="none" w:sz="0" w:space="0" w:color="auto"/>
            <w:right w:val="none" w:sz="0" w:space="0" w:color="auto"/>
          </w:divBdr>
        </w:div>
        <w:div w:id="929505542">
          <w:marLeft w:val="0"/>
          <w:marRight w:val="0"/>
          <w:marTop w:val="0"/>
          <w:marBottom w:val="0"/>
          <w:divBdr>
            <w:top w:val="none" w:sz="0" w:space="0" w:color="auto"/>
            <w:left w:val="none" w:sz="0" w:space="0" w:color="auto"/>
            <w:bottom w:val="none" w:sz="0" w:space="0" w:color="auto"/>
            <w:right w:val="none" w:sz="0" w:space="0" w:color="auto"/>
          </w:divBdr>
        </w:div>
      </w:divsChild>
    </w:div>
    <w:div w:id="1993102544">
      <w:bodyDiv w:val="1"/>
      <w:marLeft w:val="0"/>
      <w:marRight w:val="0"/>
      <w:marTop w:val="0"/>
      <w:marBottom w:val="0"/>
      <w:divBdr>
        <w:top w:val="none" w:sz="0" w:space="0" w:color="auto"/>
        <w:left w:val="none" w:sz="0" w:space="0" w:color="auto"/>
        <w:bottom w:val="none" w:sz="0" w:space="0" w:color="auto"/>
        <w:right w:val="none" w:sz="0" w:space="0" w:color="auto"/>
      </w:divBdr>
      <w:divsChild>
        <w:div w:id="1202401953">
          <w:marLeft w:val="0"/>
          <w:marRight w:val="0"/>
          <w:marTop w:val="0"/>
          <w:marBottom w:val="0"/>
          <w:divBdr>
            <w:top w:val="none" w:sz="0" w:space="0" w:color="auto"/>
            <w:left w:val="none" w:sz="0" w:space="0" w:color="auto"/>
            <w:bottom w:val="none" w:sz="0" w:space="0" w:color="auto"/>
            <w:right w:val="none" w:sz="0" w:space="0" w:color="auto"/>
          </w:divBdr>
        </w:div>
        <w:div w:id="1550532285">
          <w:marLeft w:val="0"/>
          <w:marRight w:val="0"/>
          <w:marTop w:val="0"/>
          <w:marBottom w:val="0"/>
          <w:divBdr>
            <w:top w:val="none" w:sz="0" w:space="0" w:color="auto"/>
            <w:left w:val="none" w:sz="0" w:space="0" w:color="auto"/>
            <w:bottom w:val="none" w:sz="0" w:space="0" w:color="auto"/>
            <w:right w:val="none" w:sz="0" w:space="0" w:color="auto"/>
          </w:divBdr>
        </w:div>
      </w:divsChild>
    </w:div>
    <w:div w:id="2037344974">
      <w:bodyDiv w:val="1"/>
      <w:marLeft w:val="0"/>
      <w:marRight w:val="0"/>
      <w:marTop w:val="0"/>
      <w:marBottom w:val="0"/>
      <w:divBdr>
        <w:top w:val="none" w:sz="0" w:space="0" w:color="auto"/>
        <w:left w:val="none" w:sz="0" w:space="0" w:color="auto"/>
        <w:bottom w:val="none" w:sz="0" w:space="0" w:color="auto"/>
        <w:right w:val="none" w:sz="0" w:space="0" w:color="auto"/>
      </w:divBdr>
    </w:div>
    <w:div w:id="2038040499">
      <w:bodyDiv w:val="1"/>
      <w:marLeft w:val="0"/>
      <w:marRight w:val="0"/>
      <w:marTop w:val="0"/>
      <w:marBottom w:val="0"/>
      <w:divBdr>
        <w:top w:val="none" w:sz="0" w:space="0" w:color="auto"/>
        <w:left w:val="none" w:sz="0" w:space="0" w:color="auto"/>
        <w:bottom w:val="none" w:sz="0" w:space="0" w:color="auto"/>
        <w:right w:val="none" w:sz="0" w:space="0" w:color="auto"/>
      </w:divBdr>
    </w:div>
    <w:div w:id="2127388083">
      <w:bodyDiv w:val="1"/>
      <w:marLeft w:val="0"/>
      <w:marRight w:val="0"/>
      <w:marTop w:val="0"/>
      <w:marBottom w:val="0"/>
      <w:divBdr>
        <w:top w:val="none" w:sz="0" w:space="0" w:color="auto"/>
        <w:left w:val="none" w:sz="0" w:space="0" w:color="auto"/>
        <w:bottom w:val="none" w:sz="0" w:space="0" w:color="auto"/>
        <w:right w:val="none" w:sz="0" w:space="0" w:color="auto"/>
      </w:divBdr>
      <w:divsChild>
        <w:div w:id="1287279368">
          <w:marLeft w:val="121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DD165-74F0-4A0C-99DE-2125BDF7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1688</Words>
  <Characters>9290</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Maerckaert, Tom</dc:creator>
  <cp:keywords/>
  <dc:description/>
  <cp:lastModifiedBy>JANS Amber</cp:lastModifiedBy>
  <cp:revision>25</cp:revision>
  <cp:lastPrinted>2022-10-13T10:53:00Z</cp:lastPrinted>
  <dcterms:created xsi:type="dcterms:W3CDTF">2026-03-13T14:43:00Z</dcterms:created>
  <dcterms:modified xsi:type="dcterms:W3CDTF">2026-03-19T08:31:00Z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98ee26c7-04cb-46cd-888e-57d9dfcaf87a</vt:lpwstr>
  </property>
</Properties>
</file>